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300459" w14:textId="40238FDE" w:rsidR="004D1137" w:rsidRDefault="004D1137" w:rsidP="004D1137">
      <w:pPr>
        <w:rPr>
          <w:rFonts w:ascii="Arial" w:hAnsi="Arial" w:cs="Arial"/>
          <w:b/>
          <w:sz w:val="20"/>
          <w:szCs w:val="20"/>
        </w:rPr>
      </w:pPr>
      <w:r>
        <w:rPr>
          <w:rFonts w:ascii="Arial" w:hAnsi="Arial" w:cs="Arial"/>
          <w:b/>
          <w:sz w:val="20"/>
          <w:szCs w:val="20"/>
        </w:rPr>
        <w:t>April 2017</w:t>
      </w:r>
    </w:p>
    <w:p w14:paraId="4ADACB8C" w14:textId="77777777" w:rsidR="001B1EB5" w:rsidRPr="00B904FE" w:rsidRDefault="00B070F4" w:rsidP="001B1EB5">
      <w:pPr>
        <w:jc w:val="center"/>
        <w:rPr>
          <w:rFonts w:ascii="Arial" w:hAnsi="Arial" w:cs="Arial"/>
          <w:b/>
          <w:sz w:val="20"/>
          <w:szCs w:val="20"/>
        </w:rPr>
      </w:pPr>
      <w:r>
        <w:rPr>
          <w:rFonts w:ascii="Arial" w:hAnsi="Arial" w:cs="Arial"/>
          <w:b/>
          <w:sz w:val="20"/>
          <w:szCs w:val="20"/>
        </w:rPr>
        <w:t>RESPONSIBLE INVESTMENT POLICY</w:t>
      </w:r>
      <w:bookmarkStart w:id="0" w:name="_GoBack"/>
      <w:bookmarkEnd w:id="0"/>
    </w:p>
    <w:p w14:paraId="46BF93D9" w14:textId="77777777" w:rsidR="001B1EB5" w:rsidRDefault="001B1EB5" w:rsidP="001B1EB5">
      <w:pPr>
        <w:ind w:left="720" w:hanging="720"/>
        <w:rPr>
          <w:rFonts w:ascii="Arial" w:hAnsi="Arial" w:cs="Arial"/>
          <w:sz w:val="20"/>
          <w:szCs w:val="20"/>
        </w:rPr>
      </w:pPr>
    </w:p>
    <w:p w14:paraId="3E97CB71" w14:textId="77777777" w:rsidR="001B1EB5" w:rsidRDefault="001B1EB5" w:rsidP="001B1EB5">
      <w:pPr>
        <w:ind w:left="720" w:hanging="720"/>
        <w:rPr>
          <w:rFonts w:ascii="Arial" w:hAnsi="Arial" w:cs="Arial"/>
          <w:sz w:val="20"/>
          <w:szCs w:val="20"/>
        </w:rPr>
      </w:pPr>
    </w:p>
    <w:p w14:paraId="60647F32" w14:textId="77777777" w:rsidR="001B1EB5" w:rsidRPr="009A6295" w:rsidRDefault="001B1EB5" w:rsidP="001B1EB5">
      <w:pPr>
        <w:ind w:left="720" w:hanging="720"/>
        <w:rPr>
          <w:rFonts w:ascii="Arial" w:hAnsi="Arial" w:cs="Arial"/>
          <w:b/>
          <w:sz w:val="20"/>
          <w:szCs w:val="20"/>
        </w:rPr>
      </w:pPr>
      <w:r w:rsidRPr="009A6295">
        <w:rPr>
          <w:rFonts w:ascii="Arial" w:hAnsi="Arial" w:cs="Arial"/>
          <w:b/>
          <w:sz w:val="20"/>
          <w:szCs w:val="20"/>
        </w:rPr>
        <w:t>1.</w:t>
      </w:r>
      <w:r w:rsidRPr="009A6295">
        <w:rPr>
          <w:rFonts w:ascii="Arial" w:hAnsi="Arial" w:cs="Arial"/>
          <w:b/>
          <w:sz w:val="20"/>
          <w:szCs w:val="20"/>
        </w:rPr>
        <w:tab/>
      </w:r>
      <w:r w:rsidRPr="009A6295">
        <w:rPr>
          <w:rFonts w:ascii="Arial" w:hAnsi="Arial" w:cs="Arial"/>
          <w:b/>
          <w:sz w:val="20"/>
          <w:szCs w:val="20"/>
          <w:u w:val="single"/>
        </w:rPr>
        <w:t>Introduction</w:t>
      </w:r>
    </w:p>
    <w:p w14:paraId="0A709681" w14:textId="77777777" w:rsidR="001B1EB5" w:rsidRDefault="001B1EB5" w:rsidP="001B1EB5">
      <w:pPr>
        <w:ind w:left="720" w:hanging="720"/>
        <w:rPr>
          <w:rFonts w:ascii="Arial" w:hAnsi="Arial" w:cs="Arial"/>
          <w:sz w:val="20"/>
          <w:szCs w:val="20"/>
        </w:rPr>
      </w:pPr>
    </w:p>
    <w:p w14:paraId="1C4A9793" w14:textId="77777777" w:rsidR="001B1EB5" w:rsidRPr="009A6295" w:rsidRDefault="001B1EB5" w:rsidP="001B1EB5">
      <w:pPr>
        <w:ind w:left="720" w:hanging="720"/>
        <w:rPr>
          <w:rFonts w:ascii="Arial" w:hAnsi="Arial" w:cs="Arial"/>
          <w:b/>
          <w:sz w:val="20"/>
          <w:szCs w:val="20"/>
        </w:rPr>
      </w:pPr>
      <w:r w:rsidRPr="009A6295">
        <w:rPr>
          <w:rFonts w:ascii="Arial" w:hAnsi="Arial" w:cs="Arial"/>
          <w:b/>
          <w:sz w:val="20"/>
          <w:szCs w:val="20"/>
        </w:rPr>
        <w:t>1.1</w:t>
      </w:r>
      <w:r w:rsidRPr="009A6295">
        <w:rPr>
          <w:rFonts w:ascii="Arial" w:hAnsi="Arial" w:cs="Arial"/>
          <w:b/>
          <w:sz w:val="20"/>
          <w:szCs w:val="20"/>
        </w:rPr>
        <w:tab/>
        <w:t xml:space="preserve">Purpose </w:t>
      </w:r>
    </w:p>
    <w:p w14:paraId="74A5AB88" w14:textId="77777777" w:rsidR="001B1EB5" w:rsidRDefault="001B1EB5" w:rsidP="001B1EB5">
      <w:pPr>
        <w:ind w:left="720" w:hanging="720"/>
        <w:rPr>
          <w:rFonts w:ascii="Arial" w:hAnsi="Arial" w:cs="Arial"/>
          <w:sz w:val="20"/>
          <w:szCs w:val="20"/>
        </w:rPr>
      </w:pPr>
    </w:p>
    <w:p w14:paraId="12B2650A" w14:textId="77777777" w:rsidR="001B1EB5" w:rsidRDefault="001B1EB5" w:rsidP="008817A1">
      <w:pPr>
        <w:ind w:left="720" w:hanging="720"/>
        <w:jc w:val="both"/>
        <w:rPr>
          <w:rFonts w:ascii="Arial" w:hAnsi="Arial" w:cs="Arial"/>
          <w:sz w:val="20"/>
          <w:szCs w:val="20"/>
        </w:rPr>
      </w:pPr>
      <w:r>
        <w:rPr>
          <w:rFonts w:ascii="Arial" w:hAnsi="Arial" w:cs="Arial"/>
          <w:sz w:val="20"/>
          <w:szCs w:val="20"/>
        </w:rPr>
        <w:tab/>
        <w:t xml:space="preserve">This </w:t>
      </w:r>
      <w:r w:rsidR="00212BCB">
        <w:rPr>
          <w:rFonts w:ascii="Arial" w:hAnsi="Arial" w:cs="Arial"/>
          <w:sz w:val="20"/>
          <w:szCs w:val="20"/>
        </w:rPr>
        <w:t>policy</w:t>
      </w:r>
      <w:r>
        <w:rPr>
          <w:rFonts w:ascii="Arial" w:hAnsi="Arial" w:cs="Arial"/>
          <w:sz w:val="20"/>
          <w:szCs w:val="20"/>
        </w:rPr>
        <w:t xml:space="preserve"> </w:t>
      </w:r>
      <w:r w:rsidR="00A77283">
        <w:rPr>
          <w:rFonts w:ascii="Arial" w:hAnsi="Arial" w:cs="Arial"/>
          <w:sz w:val="20"/>
          <w:szCs w:val="20"/>
        </w:rPr>
        <w:t xml:space="preserve">sets out the </w:t>
      </w:r>
      <w:r w:rsidR="00B070F4">
        <w:rPr>
          <w:rFonts w:ascii="Arial" w:hAnsi="Arial" w:cs="Arial"/>
          <w:sz w:val="20"/>
          <w:szCs w:val="20"/>
        </w:rPr>
        <w:t xml:space="preserve">broad </w:t>
      </w:r>
      <w:r w:rsidR="00A77283">
        <w:rPr>
          <w:rFonts w:ascii="Arial" w:hAnsi="Arial" w:cs="Arial"/>
          <w:sz w:val="20"/>
          <w:szCs w:val="20"/>
        </w:rPr>
        <w:t xml:space="preserve">principles governing decisions </w:t>
      </w:r>
      <w:r w:rsidR="00B070F4">
        <w:rPr>
          <w:rFonts w:ascii="Arial" w:hAnsi="Arial" w:cs="Arial"/>
          <w:sz w:val="20"/>
          <w:szCs w:val="20"/>
        </w:rPr>
        <w:t>on</w:t>
      </w:r>
      <w:r w:rsidR="00A77283">
        <w:rPr>
          <w:rFonts w:ascii="Arial" w:hAnsi="Arial" w:cs="Arial"/>
          <w:sz w:val="20"/>
          <w:szCs w:val="20"/>
        </w:rPr>
        <w:t xml:space="preserve"> the investment </w:t>
      </w:r>
      <w:r w:rsidR="00B070F4">
        <w:rPr>
          <w:rFonts w:ascii="Arial" w:hAnsi="Arial" w:cs="Arial"/>
          <w:sz w:val="20"/>
          <w:szCs w:val="20"/>
        </w:rPr>
        <w:t xml:space="preserve">of </w:t>
      </w:r>
      <w:r w:rsidR="00A77283">
        <w:rPr>
          <w:rFonts w:ascii="Arial" w:hAnsi="Arial" w:cs="Arial"/>
          <w:sz w:val="20"/>
          <w:szCs w:val="20"/>
        </w:rPr>
        <w:t xml:space="preserve">funds </w:t>
      </w:r>
      <w:r w:rsidR="00B070F4">
        <w:rPr>
          <w:rFonts w:ascii="Arial" w:hAnsi="Arial" w:cs="Arial"/>
          <w:sz w:val="20"/>
          <w:szCs w:val="20"/>
        </w:rPr>
        <w:t>held by</w:t>
      </w:r>
      <w:r w:rsidR="00A77283">
        <w:rPr>
          <w:rFonts w:ascii="Arial" w:hAnsi="Arial" w:cs="Arial"/>
          <w:sz w:val="20"/>
          <w:szCs w:val="20"/>
        </w:rPr>
        <w:t xml:space="preserve"> the University.</w:t>
      </w:r>
      <w:r w:rsidR="00831F8C">
        <w:rPr>
          <w:rFonts w:ascii="Arial" w:hAnsi="Arial" w:cs="Arial"/>
          <w:sz w:val="20"/>
          <w:szCs w:val="20"/>
        </w:rPr>
        <w:t xml:space="preserve">  The policy has been guided by trust principles and charity law.</w:t>
      </w:r>
    </w:p>
    <w:p w14:paraId="60DAE202" w14:textId="77777777" w:rsidR="00B070F4" w:rsidRDefault="00B070F4" w:rsidP="001B1EB5">
      <w:pPr>
        <w:ind w:left="720" w:hanging="720"/>
        <w:rPr>
          <w:rFonts w:ascii="Arial" w:hAnsi="Arial" w:cs="Arial"/>
          <w:sz w:val="20"/>
          <w:szCs w:val="20"/>
        </w:rPr>
      </w:pPr>
    </w:p>
    <w:p w14:paraId="481D5B77" w14:textId="22A22D18" w:rsidR="00B070F4" w:rsidRDefault="00B070F4" w:rsidP="008817A1">
      <w:pPr>
        <w:ind w:left="720" w:hanging="720"/>
        <w:jc w:val="both"/>
        <w:rPr>
          <w:rFonts w:ascii="Arial" w:hAnsi="Arial" w:cs="Arial"/>
          <w:sz w:val="20"/>
          <w:szCs w:val="20"/>
        </w:rPr>
      </w:pPr>
      <w:r>
        <w:rPr>
          <w:rFonts w:ascii="Arial" w:hAnsi="Arial" w:cs="Arial"/>
          <w:sz w:val="20"/>
          <w:szCs w:val="20"/>
        </w:rPr>
        <w:tab/>
        <w:t>The University is committed to ensuring that it makes investment decisions</w:t>
      </w:r>
      <w:r w:rsidR="00212BCB">
        <w:rPr>
          <w:rFonts w:ascii="Arial" w:hAnsi="Arial" w:cs="Arial"/>
          <w:sz w:val="20"/>
          <w:szCs w:val="20"/>
        </w:rPr>
        <w:t xml:space="preserve"> responsibly and with integrity, </w:t>
      </w:r>
      <w:r>
        <w:rPr>
          <w:rFonts w:ascii="Arial" w:hAnsi="Arial" w:cs="Arial"/>
          <w:sz w:val="20"/>
          <w:szCs w:val="20"/>
        </w:rPr>
        <w:t>tak</w:t>
      </w:r>
      <w:r w:rsidR="00212BCB">
        <w:rPr>
          <w:rFonts w:ascii="Arial" w:hAnsi="Arial" w:cs="Arial"/>
          <w:sz w:val="20"/>
          <w:szCs w:val="20"/>
        </w:rPr>
        <w:t>ing</w:t>
      </w:r>
      <w:r>
        <w:rPr>
          <w:rFonts w:ascii="Arial" w:hAnsi="Arial" w:cs="Arial"/>
          <w:sz w:val="20"/>
          <w:szCs w:val="20"/>
        </w:rPr>
        <w:t xml:space="preserve"> into account the </w:t>
      </w:r>
      <w:r w:rsidR="00E26427">
        <w:rPr>
          <w:rFonts w:ascii="Arial" w:hAnsi="Arial" w:cs="Arial"/>
          <w:sz w:val="20"/>
          <w:szCs w:val="20"/>
        </w:rPr>
        <w:t xml:space="preserve">legal </w:t>
      </w:r>
      <w:r w:rsidR="003C7B34">
        <w:rPr>
          <w:rFonts w:ascii="Arial" w:hAnsi="Arial" w:cs="Arial"/>
          <w:sz w:val="20"/>
          <w:szCs w:val="20"/>
        </w:rPr>
        <w:t>view</w:t>
      </w:r>
      <w:r w:rsidR="00E26427">
        <w:rPr>
          <w:rFonts w:ascii="Arial" w:hAnsi="Arial" w:cs="Arial"/>
          <w:sz w:val="20"/>
          <w:szCs w:val="20"/>
        </w:rPr>
        <w:t xml:space="preserve"> that when trustees exercise a power of investment they must do so to achieve the bes</w:t>
      </w:r>
      <w:r w:rsidR="003C7B34">
        <w:rPr>
          <w:rFonts w:ascii="Arial" w:hAnsi="Arial" w:cs="Arial"/>
          <w:sz w:val="20"/>
          <w:szCs w:val="20"/>
        </w:rPr>
        <w:t>t possible financial return for</w:t>
      </w:r>
      <w:r w:rsidR="00E26427">
        <w:rPr>
          <w:rFonts w:ascii="Arial" w:hAnsi="Arial" w:cs="Arial"/>
          <w:sz w:val="20"/>
          <w:szCs w:val="20"/>
        </w:rPr>
        <w:t xml:space="preserve"> beneficiaries</w:t>
      </w:r>
      <w:r w:rsidR="003C7B34">
        <w:rPr>
          <w:rFonts w:ascii="Arial" w:hAnsi="Arial" w:cs="Arial"/>
          <w:sz w:val="20"/>
          <w:szCs w:val="20"/>
        </w:rPr>
        <w:t>,</w:t>
      </w:r>
      <w:r w:rsidR="00E26427">
        <w:rPr>
          <w:rFonts w:ascii="Arial" w:hAnsi="Arial" w:cs="Arial"/>
          <w:sz w:val="20"/>
          <w:szCs w:val="20"/>
        </w:rPr>
        <w:t xml:space="preserve"> taking account of risk.</w:t>
      </w:r>
    </w:p>
    <w:p w14:paraId="294ABDEC" w14:textId="77777777" w:rsidR="00B070F4" w:rsidRDefault="00B070F4" w:rsidP="00B070F4">
      <w:pPr>
        <w:ind w:left="720" w:hanging="720"/>
        <w:jc w:val="both"/>
        <w:rPr>
          <w:rFonts w:ascii="Arial" w:hAnsi="Arial" w:cs="Arial"/>
          <w:sz w:val="20"/>
          <w:szCs w:val="20"/>
        </w:rPr>
      </w:pPr>
    </w:p>
    <w:p w14:paraId="3364CA78" w14:textId="77777777" w:rsidR="00B070F4" w:rsidRPr="00AA0E7E" w:rsidRDefault="00B070F4" w:rsidP="00B070F4">
      <w:pPr>
        <w:ind w:left="720" w:hanging="720"/>
        <w:jc w:val="both"/>
        <w:rPr>
          <w:rFonts w:ascii="Arial" w:hAnsi="Arial" w:cs="Arial"/>
          <w:sz w:val="20"/>
          <w:szCs w:val="20"/>
        </w:rPr>
      </w:pPr>
      <w:r w:rsidRPr="00373070">
        <w:rPr>
          <w:rFonts w:ascii="Arial" w:hAnsi="Arial" w:cs="Arial"/>
          <w:sz w:val="20"/>
          <w:szCs w:val="20"/>
        </w:rPr>
        <w:tab/>
      </w:r>
      <w:r w:rsidRPr="00AA0E7E">
        <w:rPr>
          <w:rFonts w:ascii="Arial" w:hAnsi="Arial" w:cs="Arial"/>
          <w:sz w:val="20"/>
          <w:szCs w:val="20"/>
        </w:rPr>
        <w:t>This policy applies to both endowment assets held under the Queen’s University (Trust Scheme) Order (NI) 1982 and the medium/long term investment of University assets generated through retained surpluses.</w:t>
      </w:r>
    </w:p>
    <w:p w14:paraId="3CB83F3A" w14:textId="77777777" w:rsidR="00A77283" w:rsidRDefault="00A77283" w:rsidP="001B1EB5">
      <w:pPr>
        <w:ind w:left="720" w:hanging="720"/>
        <w:rPr>
          <w:rFonts w:ascii="Arial" w:hAnsi="Arial" w:cs="Arial"/>
          <w:sz w:val="20"/>
          <w:szCs w:val="20"/>
        </w:rPr>
      </w:pPr>
    </w:p>
    <w:p w14:paraId="035E618D" w14:textId="77777777" w:rsidR="00A77283" w:rsidRPr="00A77283" w:rsidRDefault="00A77283" w:rsidP="001B1EB5">
      <w:pPr>
        <w:ind w:left="720" w:hanging="720"/>
        <w:rPr>
          <w:rFonts w:ascii="Arial" w:hAnsi="Arial" w:cs="Arial"/>
          <w:b/>
          <w:sz w:val="20"/>
          <w:szCs w:val="20"/>
        </w:rPr>
      </w:pPr>
      <w:r w:rsidRPr="00A77283">
        <w:rPr>
          <w:rFonts w:ascii="Arial" w:hAnsi="Arial" w:cs="Arial"/>
          <w:b/>
          <w:sz w:val="20"/>
          <w:szCs w:val="20"/>
        </w:rPr>
        <w:t>1.2</w:t>
      </w:r>
      <w:r w:rsidRPr="00A77283">
        <w:rPr>
          <w:rFonts w:ascii="Arial" w:hAnsi="Arial" w:cs="Arial"/>
          <w:b/>
          <w:sz w:val="20"/>
          <w:szCs w:val="20"/>
        </w:rPr>
        <w:tab/>
        <w:t>Advice</w:t>
      </w:r>
    </w:p>
    <w:p w14:paraId="56D10AA7" w14:textId="77777777" w:rsidR="00A77283" w:rsidRDefault="00A77283" w:rsidP="001B1EB5">
      <w:pPr>
        <w:ind w:left="720" w:hanging="720"/>
        <w:rPr>
          <w:rFonts w:ascii="Arial" w:hAnsi="Arial" w:cs="Arial"/>
          <w:sz w:val="20"/>
          <w:szCs w:val="20"/>
        </w:rPr>
      </w:pPr>
    </w:p>
    <w:p w14:paraId="2C929DDB" w14:textId="77777777" w:rsidR="00A77283" w:rsidRDefault="00A77283" w:rsidP="008817A1">
      <w:pPr>
        <w:ind w:left="720" w:hanging="720"/>
        <w:jc w:val="both"/>
        <w:rPr>
          <w:rFonts w:ascii="Arial" w:hAnsi="Arial" w:cs="Arial"/>
          <w:sz w:val="20"/>
          <w:szCs w:val="20"/>
        </w:rPr>
      </w:pPr>
      <w:r>
        <w:rPr>
          <w:rFonts w:ascii="Arial" w:hAnsi="Arial" w:cs="Arial"/>
          <w:sz w:val="20"/>
          <w:szCs w:val="20"/>
        </w:rPr>
        <w:tab/>
        <w:t xml:space="preserve">The </w:t>
      </w:r>
      <w:r w:rsidR="00212BCB">
        <w:rPr>
          <w:rFonts w:ascii="Arial" w:hAnsi="Arial" w:cs="Arial"/>
          <w:sz w:val="20"/>
          <w:szCs w:val="20"/>
        </w:rPr>
        <w:t xml:space="preserve">Investment </w:t>
      </w:r>
      <w:r>
        <w:rPr>
          <w:rFonts w:ascii="Arial" w:hAnsi="Arial" w:cs="Arial"/>
          <w:sz w:val="20"/>
          <w:szCs w:val="20"/>
        </w:rPr>
        <w:t>Committee has obtained</w:t>
      </w:r>
      <w:r w:rsidR="00212BCB">
        <w:rPr>
          <w:rFonts w:ascii="Arial" w:hAnsi="Arial" w:cs="Arial"/>
          <w:sz w:val="20"/>
          <w:szCs w:val="20"/>
        </w:rPr>
        <w:t xml:space="preserve"> advice on the content of this policy</w:t>
      </w:r>
      <w:r>
        <w:rPr>
          <w:rFonts w:ascii="Arial" w:hAnsi="Arial" w:cs="Arial"/>
          <w:sz w:val="20"/>
          <w:szCs w:val="20"/>
        </w:rPr>
        <w:t xml:space="preserve"> from the University’s independent</w:t>
      </w:r>
      <w:r w:rsidR="00B070F4">
        <w:rPr>
          <w:rFonts w:ascii="Arial" w:hAnsi="Arial" w:cs="Arial"/>
          <w:sz w:val="20"/>
          <w:szCs w:val="20"/>
        </w:rPr>
        <w:t xml:space="preserve"> legal and </w:t>
      </w:r>
      <w:r>
        <w:rPr>
          <w:rFonts w:ascii="Arial" w:hAnsi="Arial" w:cs="Arial"/>
          <w:sz w:val="20"/>
          <w:szCs w:val="20"/>
        </w:rPr>
        <w:t>investment advisors.</w:t>
      </w:r>
    </w:p>
    <w:p w14:paraId="0FBEB7B3" w14:textId="77777777" w:rsidR="00A77283" w:rsidRDefault="00A77283" w:rsidP="001B1EB5">
      <w:pPr>
        <w:ind w:left="720" w:hanging="720"/>
        <w:rPr>
          <w:rFonts w:ascii="Arial" w:hAnsi="Arial" w:cs="Arial"/>
          <w:sz w:val="20"/>
          <w:szCs w:val="20"/>
        </w:rPr>
      </w:pPr>
    </w:p>
    <w:p w14:paraId="2299F90A" w14:textId="77777777" w:rsidR="00B070F4" w:rsidRPr="00B070F4" w:rsidRDefault="00B070F4" w:rsidP="001B1EB5">
      <w:pPr>
        <w:ind w:left="720" w:hanging="720"/>
        <w:rPr>
          <w:rFonts w:ascii="Arial" w:hAnsi="Arial" w:cs="Arial"/>
          <w:b/>
          <w:sz w:val="20"/>
          <w:szCs w:val="20"/>
        </w:rPr>
      </w:pPr>
      <w:r w:rsidRPr="00B070F4">
        <w:rPr>
          <w:rFonts w:ascii="Arial" w:hAnsi="Arial" w:cs="Arial"/>
          <w:b/>
          <w:sz w:val="20"/>
          <w:szCs w:val="20"/>
        </w:rPr>
        <w:t>1.3</w:t>
      </w:r>
      <w:r w:rsidRPr="00B070F4">
        <w:rPr>
          <w:rFonts w:ascii="Arial" w:hAnsi="Arial" w:cs="Arial"/>
          <w:b/>
          <w:sz w:val="20"/>
          <w:szCs w:val="20"/>
        </w:rPr>
        <w:tab/>
        <w:t>Roles and Responsibilities</w:t>
      </w:r>
    </w:p>
    <w:p w14:paraId="07F3B227" w14:textId="77777777" w:rsidR="00B070F4" w:rsidRDefault="00B070F4" w:rsidP="001B1EB5">
      <w:pPr>
        <w:ind w:left="720" w:hanging="720"/>
        <w:rPr>
          <w:rFonts w:ascii="Arial" w:hAnsi="Arial" w:cs="Arial"/>
          <w:sz w:val="20"/>
          <w:szCs w:val="20"/>
        </w:rPr>
      </w:pPr>
    </w:p>
    <w:p w14:paraId="2B063A84" w14:textId="77777777" w:rsidR="00B070F4" w:rsidRPr="00AA51D7" w:rsidRDefault="00B070F4" w:rsidP="00803065">
      <w:pPr>
        <w:pStyle w:val="ListParagraph"/>
        <w:numPr>
          <w:ilvl w:val="0"/>
          <w:numId w:val="5"/>
        </w:numPr>
        <w:ind w:left="1170" w:hanging="450"/>
        <w:rPr>
          <w:rFonts w:ascii="Arial" w:hAnsi="Arial" w:cs="Arial"/>
          <w:sz w:val="20"/>
          <w:szCs w:val="20"/>
        </w:rPr>
      </w:pPr>
      <w:r w:rsidRPr="00AA51D7">
        <w:rPr>
          <w:rFonts w:ascii="Arial" w:hAnsi="Arial" w:cs="Arial"/>
          <w:sz w:val="20"/>
          <w:szCs w:val="20"/>
        </w:rPr>
        <w:t xml:space="preserve">Role of Senate </w:t>
      </w:r>
    </w:p>
    <w:p w14:paraId="28FFA435" w14:textId="5EBBB3F5" w:rsidR="00B070F4" w:rsidRPr="00AA51D7" w:rsidRDefault="002D7881" w:rsidP="002D7881">
      <w:pPr>
        <w:ind w:left="1170"/>
        <w:jc w:val="both"/>
        <w:rPr>
          <w:rFonts w:ascii="Arial" w:hAnsi="Arial" w:cs="Arial"/>
          <w:sz w:val="20"/>
          <w:szCs w:val="20"/>
        </w:rPr>
      </w:pPr>
      <w:r w:rsidRPr="00AA51D7">
        <w:rPr>
          <w:rFonts w:ascii="Arial" w:hAnsi="Arial" w:cs="Arial"/>
          <w:sz w:val="20"/>
          <w:szCs w:val="20"/>
        </w:rPr>
        <w:t>In accordance with the University’s Charter and Statutes</w:t>
      </w:r>
      <w:r w:rsidR="00AA51D7">
        <w:rPr>
          <w:rFonts w:ascii="Arial" w:hAnsi="Arial" w:cs="Arial"/>
          <w:sz w:val="20"/>
          <w:szCs w:val="20"/>
        </w:rPr>
        <w:t>,</w:t>
      </w:r>
      <w:r w:rsidRPr="00AA51D7">
        <w:rPr>
          <w:rFonts w:ascii="Arial" w:hAnsi="Arial" w:cs="Arial"/>
          <w:sz w:val="20"/>
          <w:szCs w:val="20"/>
        </w:rPr>
        <w:t xml:space="preserve"> Senate, as the Governing Body, is responsible for oversight of the management and administration of the University’s affairs.  Senate is supported by Planning and Finance </w:t>
      </w:r>
      <w:r w:rsidR="0049714C" w:rsidRPr="00AA51D7">
        <w:rPr>
          <w:rFonts w:ascii="Arial" w:hAnsi="Arial" w:cs="Arial"/>
          <w:sz w:val="20"/>
          <w:szCs w:val="20"/>
        </w:rPr>
        <w:t>Committee</w:t>
      </w:r>
      <w:r w:rsidR="0049714C">
        <w:rPr>
          <w:rFonts w:ascii="Arial" w:hAnsi="Arial" w:cs="Arial"/>
          <w:sz w:val="20"/>
          <w:szCs w:val="20"/>
        </w:rPr>
        <w:t xml:space="preserve"> (PFC) </w:t>
      </w:r>
      <w:r w:rsidRPr="00AA51D7">
        <w:rPr>
          <w:rFonts w:ascii="Arial" w:hAnsi="Arial" w:cs="Arial"/>
          <w:sz w:val="20"/>
          <w:szCs w:val="20"/>
        </w:rPr>
        <w:t>to whom it has delegated a number of key responsibilities.</w:t>
      </w:r>
    </w:p>
    <w:p w14:paraId="724B5F51" w14:textId="77777777" w:rsidR="002D7881" w:rsidRPr="00AA51D7" w:rsidRDefault="002D7881" w:rsidP="00803065">
      <w:pPr>
        <w:ind w:left="1170" w:hanging="450"/>
        <w:rPr>
          <w:rFonts w:ascii="Arial" w:hAnsi="Arial" w:cs="Arial"/>
          <w:sz w:val="20"/>
          <w:szCs w:val="20"/>
        </w:rPr>
      </w:pPr>
    </w:p>
    <w:p w14:paraId="50948D00" w14:textId="77777777" w:rsidR="002D7881" w:rsidRPr="00AA51D7" w:rsidRDefault="00B070F4" w:rsidP="00884E43">
      <w:pPr>
        <w:pStyle w:val="ListParagraph"/>
        <w:numPr>
          <w:ilvl w:val="0"/>
          <w:numId w:val="5"/>
        </w:numPr>
        <w:ind w:left="1170" w:hanging="450"/>
        <w:rPr>
          <w:rFonts w:ascii="Arial" w:hAnsi="Arial" w:cs="Arial"/>
          <w:sz w:val="20"/>
          <w:szCs w:val="20"/>
        </w:rPr>
      </w:pPr>
      <w:r w:rsidRPr="00AA51D7">
        <w:rPr>
          <w:rFonts w:ascii="Arial" w:hAnsi="Arial" w:cs="Arial"/>
          <w:sz w:val="20"/>
          <w:szCs w:val="20"/>
        </w:rPr>
        <w:t xml:space="preserve">Role of Planning and Finance Committee </w:t>
      </w:r>
    </w:p>
    <w:p w14:paraId="6DF22C76" w14:textId="77777777" w:rsidR="002D7881" w:rsidRPr="00AA51D7" w:rsidRDefault="002D7881" w:rsidP="002D7881">
      <w:pPr>
        <w:pStyle w:val="ListParagraph"/>
        <w:ind w:left="1170"/>
        <w:rPr>
          <w:rFonts w:ascii="Arial" w:hAnsi="Arial" w:cs="Arial"/>
          <w:sz w:val="20"/>
          <w:szCs w:val="20"/>
        </w:rPr>
      </w:pPr>
    </w:p>
    <w:p w14:paraId="7EA0A78B" w14:textId="559FA133" w:rsidR="002D7881" w:rsidRPr="00AA51D7" w:rsidRDefault="002D7881" w:rsidP="00603512">
      <w:pPr>
        <w:pStyle w:val="ListParagraph"/>
        <w:ind w:left="1170"/>
        <w:jc w:val="both"/>
        <w:rPr>
          <w:rFonts w:ascii="Arial" w:hAnsi="Arial" w:cs="Arial"/>
          <w:sz w:val="20"/>
          <w:szCs w:val="20"/>
        </w:rPr>
      </w:pPr>
      <w:r w:rsidRPr="00AA51D7">
        <w:rPr>
          <w:rFonts w:ascii="Arial" w:hAnsi="Arial" w:cs="Arial"/>
          <w:sz w:val="20"/>
          <w:szCs w:val="20"/>
        </w:rPr>
        <w:t xml:space="preserve">The Terms of Reference for </w:t>
      </w:r>
      <w:r w:rsidR="009E4436">
        <w:rPr>
          <w:rFonts w:ascii="Arial" w:hAnsi="Arial" w:cs="Arial"/>
          <w:sz w:val="20"/>
          <w:szCs w:val="20"/>
        </w:rPr>
        <w:t>PFC</w:t>
      </w:r>
      <w:r w:rsidR="00E26427">
        <w:rPr>
          <w:rFonts w:ascii="Arial" w:hAnsi="Arial" w:cs="Arial"/>
          <w:sz w:val="20"/>
          <w:szCs w:val="20"/>
        </w:rPr>
        <w:t xml:space="preserve"> </w:t>
      </w:r>
      <w:r w:rsidRPr="00AA51D7">
        <w:rPr>
          <w:rFonts w:ascii="Arial" w:hAnsi="Arial" w:cs="Arial"/>
          <w:sz w:val="20"/>
          <w:szCs w:val="20"/>
        </w:rPr>
        <w:t>are comprehensive</w:t>
      </w:r>
      <w:r w:rsidR="00E26427">
        <w:rPr>
          <w:rFonts w:ascii="Arial" w:hAnsi="Arial" w:cs="Arial"/>
          <w:sz w:val="20"/>
          <w:szCs w:val="20"/>
        </w:rPr>
        <w:t>,</w:t>
      </w:r>
      <w:r w:rsidRPr="00AA51D7">
        <w:rPr>
          <w:rFonts w:ascii="Arial" w:hAnsi="Arial" w:cs="Arial"/>
          <w:sz w:val="20"/>
          <w:szCs w:val="20"/>
        </w:rPr>
        <w:t xml:space="preserve"> as it is a key sub-committee of Senate.  </w:t>
      </w:r>
      <w:r w:rsidR="0049714C">
        <w:rPr>
          <w:rFonts w:ascii="Arial" w:hAnsi="Arial" w:cs="Arial"/>
          <w:sz w:val="20"/>
          <w:szCs w:val="20"/>
        </w:rPr>
        <w:t xml:space="preserve">Members of </w:t>
      </w:r>
      <w:r w:rsidR="00E26427">
        <w:rPr>
          <w:rFonts w:ascii="Arial" w:hAnsi="Arial" w:cs="Arial"/>
          <w:sz w:val="20"/>
          <w:szCs w:val="20"/>
        </w:rPr>
        <w:t>PFC</w:t>
      </w:r>
      <w:r w:rsidRPr="00AA51D7">
        <w:rPr>
          <w:rFonts w:ascii="Arial" w:hAnsi="Arial" w:cs="Arial"/>
          <w:sz w:val="20"/>
          <w:szCs w:val="20"/>
        </w:rPr>
        <w:t xml:space="preserve"> (not Senate) are the Trustees of the Queen’s University (Trust Scheme) Order (NI) 1982</w:t>
      </w:r>
      <w:r w:rsidR="009E4436">
        <w:rPr>
          <w:rFonts w:ascii="Arial" w:hAnsi="Arial" w:cs="Arial"/>
          <w:sz w:val="20"/>
          <w:szCs w:val="20"/>
        </w:rPr>
        <w:t>,</w:t>
      </w:r>
      <w:r w:rsidRPr="00AA51D7">
        <w:rPr>
          <w:rFonts w:ascii="Arial" w:hAnsi="Arial" w:cs="Arial"/>
          <w:sz w:val="20"/>
          <w:szCs w:val="20"/>
        </w:rPr>
        <w:t xml:space="preserve"> and </w:t>
      </w:r>
      <w:r w:rsidR="009E4436">
        <w:rPr>
          <w:rFonts w:ascii="Arial" w:hAnsi="Arial" w:cs="Arial"/>
          <w:sz w:val="20"/>
          <w:szCs w:val="20"/>
        </w:rPr>
        <w:t xml:space="preserve">as such, </w:t>
      </w:r>
      <w:r w:rsidRPr="00AA51D7">
        <w:rPr>
          <w:rFonts w:ascii="Arial" w:hAnsi="Arial" w:cs="Arial"/>
          <w:sz w:val="20"/>
          <w:szCs w:val="20"/>
        </w:rPr>
        <w:t>also have a number of primary responsibilities.  With regard to this policy the relevant extract</w:t>
      </w:r>
      <w:r w:rsidR="00AA51D7">
        <w:rPr>
          <w:rFonts w:ascii="Arial" w:hAnsi="Arial" w:cs="Arial"/>
          <w:sz w:val="20"/>
          <w:szCs w:val="20"/>
        </w:rPr>
        <w:t>s</w:t>
      </w:r>
      <w:r w:rsidRPr="00AA51D7">
        <w:rPr>
          <w:rFonts w:ascii="Arial" w:hAnsi="Arial" w:cs="Arial"/>
          <w:sz w:val="20"/>
          <w:szCs w:val="20"/>
        </w:rPr>
        <w:t xml:space="preserve"> from P</w:t>
      </w:r>
      <w:r w:rsidR="00E26427">
        <w:rPr>
          <w:rFonts w:ascii="Arial" w:hAnsi="Arial" w:cs="Arial"/>
          <w:sz w:val="20"/>
          <w:szCs w:val="20"/>
        </w:rPr>
        <w:t>FC’s</w:t>
      </w:r>
      <w:r w:rsidRPr="00AA51D7">
        <w:rPr>
          <w:rFonts w:ascii="Arial" w:hAnsi="Arial" w:cs="Arial"/>
          <w:sz w:val="20"/>
          <w:szCs w:val="20"/>
        </w:rPr>
        <w:t xml:space="preserve"> Terms of Reference are:</w:t>
      </w:r>
    </w:p>
    <w:p w14:paraId="74488949" w14:textId="77777777" w:rsidR="002D7881" w:rsidRPr="00AA51D7" w:rsidRDefault="002D7881" w:rsidP="002D7881">
      <w:pPr>
        <w:pStyle w:val="ListParagraph"/>
        <w:jc w:val="both"/>
        <w:rPr>
          <w:rFonts w:ascii="Arial" w:hAnsi="Arial" w:cs="Arial"/>
          <w:sz w:val="20"/>
          <w:szCs w:val="20"/>
        </w:rPr>
      </w:pPr>
    </w:p>
    <w:p w14:paraId="1DC7B739" w14:textId="77777777" w:rsidR="002D7881" w:rsidRPr="00AA51D7" w:rsidRDefault="002D7881" w:rsidP="00603512">
      <w:pPr>
        <w:pStyle w:val="ListParagraph"/>
        <w:numPr>
          <w:ilvl w:val="0"/>
          <w:numId w:val="6"/>
        </w:numPr>
        <w:ind w:left="1620"/>
        <w:jc w:val="both"/>
        <w:rPr>
          <w:rFonts w:ascii="Arial" w:hAnsi="Arial" w:cs="Arial"/>
          <w:sz w:val="20"/>
          <w:szCs w:val="20"/>
        </w:rPr>
      </w:pPr>
      <w:r w:rsidRPr="00AA51D7">
        <w:rPr>
          <w:rFonts w:ascii="Arial" w:hAnsi="Arial" w:cs="Arial"/>
          <w:sz w:val="20"/>
          <w:szCs w:val="20"/>
        </w:rPr>
        <w:t>Advising, and where appropriate, making recommendations to the Academic Council and the Senate, on the University’s academic, financial, physical and human resource objectives and priorities.</w:t>
      </w:r>
    </w:p>
    <w:p w14:paraId="11CCC95F" w14:textId="77777777" w:rsidR="002D7881" w:rsidRPr="00AA51D7" w:rsidRDefault="002D7881" w:rsidP="00603512">
      <w:pPr>
        <w:pStyle w:val="ListParagraph"/>
        <w:numPr>
          <w:ilvl w:val="0"/>
          <w:numId w:val="6"/>
        </w:numPr>
        <w:tabs>
          <w:tab w:val="left" w:pos="720"/>
        </w:tabs>
        <w:ind w:left="1620"/>
        <w:jc w:val="both"/>
        <w:rPr>
          <w:rFonts w:ascii="Arial" w:hAnsi="Arial" w:cs="Arial"/>
          <w:sz w:val="20"/>
          <w:szCs w:val="20"/>
        </w:rPr>
      </w:pPr>
      <w:r w:rsidRPr="00AA51D7">
        <w:rPr>
          <w:rFonts w:ascii="Arial" w:hAnsi="Arial" w:cs="Arial"/>
          <w:sz w:val="20"/>
          <w:szCs w:val="20"/>
        </w:rPr>
        <w:t>Supervising all matters relating to the University’s finances and accounts, investment of funds, the receipt of income and expenditure incurred and the management of trust funds.</w:t>
      </w:r>
    </w:p>
    <w:p w14:paraId="7855F5CF" w14:textId="77777777" w:rsidR="002D7881" w:rsidRPr="00AA51D7" w:rsidRDefault="002D7881" w:rsidP="00603512">
      <w:pPr>
        <w:pStyle w:val="ListParagraph"/>
        <w:numPr>
          <w:ilvl w:val="0"/>
          <w:numId w:val="6"/>
        </w:numPr>
        <w:tabs>
          <w:tab w:val="left" w:pos="720"/>
        </w:tabs>
        <w:ind w:left="1620"/>
        <w:jc w:val="both"/>
        <w:rPr>
          <w:rFonts w:ascii="Arial" w:hAnsi="Arial" w:cs="Arial"/>
          <w:sz w:val="20"/>
          <w:szCs w:val="20"/>
        </w:rPr>
      </w:pPr>
      <w:r w:rsidRPr="00AA51D7">
        <w:rPr>
          <w:rFonts w:ascii="Arial" w:hAnsi="Arial" w:cs="Arial"/>
          <w:sz w:val="20"/>
          <w:szCs w:val="20"/>
        </w:rPr>
        <w:t>Consideration and approval of subsidiary strategies and operational plans to support the University in the delivery of its strategic objectives.</w:t>
      </w:r>
    </w:p>
    <w:p w14:paraId="773B9E05" w14:textId="24D4A2F6" w:rsidR="00B070F4" w:rsidRDefault="002D7881" w:rsidP="00897C34">
      <w:pPr>
        <w:pStyle w:val="ListParagraph"/>
        <w:numPr>
          <w:ilvl w:val="0"/>
          <w:numId w:val="6"/>
        </w:numPr>
        <w:tabs>
          <w:tab w:val="left" w:pos="720"/>
        </w:tabs>
        <w:ind w:left="1620"/>
        <w:jc w:val="both"/>
        <w:rPr>
          <w:rFonts w:ascii="Arial" w:hAnsi="Arial" w:cs="Arial"/>
          <w:sz w:val="20"/>
          <w:szCs w:val="20"/>
        </w:rPr>
      </w:pPr>
      <w:r w:rsidRPr="00AA51D7">
        <w:rPr>
          <w:rFonts w:ascii="Arial" w:hAnsi="Arial" w:cs="Arial"/>
          <w:sz w:val="20"/>
          <w:szCs w:val="20"/>
        </w:rPr>
        <w:t>Oversight of the strategic management of legacies, endowments, bequests and/or gifts made to the University.</w:t>
      </w:r>
    </w:p>
    <w:p w14:paraId="0C7C70FE" w14:textId="77777777" w:rsidR="00897C34" w:rsidRPr="00897C34" w:rsidRDefault="00897C34" w:rsidP="00897C34">
      <w:pPr>
        <w:pStyle w:val="ListParagraph"/>
        <w:tabs>
          <w:tab w:val="left" w:pos="720"/>
        </w:tabs>
        <w:ind w:left="1620"/>
        <w:jc w:val="both"/>
        <w:rPr>
          <w:rFonts w:ascii="Arial" w:hAnsi="Arial" w:cs="Arial"/>
          <w:sz w:val="20"/>
          <w:szCs w:val="20"/>
        </w:rPr>
      </w:pPr>
    </w:p>
    <w:p w14:paraId="452A15AF" w14:textId="77777777" w:rsidR="00A77283" w:rsidRPr="00803065" w:rsidRDefault="00A77283" w:rsidP="00803065">
      <w:pPr>
        <w:pStyle w:val="ListParagraph"/>
        <w:numPr>
          <w:ilvl w:val="0"/>
          <w:numId w:val="5"/>
        </w:numPr>
        <w:ind w:left="1170" w:hanging="450"/>
        <w:rPr>
          <w:rFonts w:ascii="Arial" w:hAnsi="Arial" w:cs="Arial"/>
          <w:sz w:val="20"/>
          <w:szCs w:val="20"/>
        </w:rPr>
      </w:pPr>
      <w:r w:rsidRPr="00803065">
        <w:rPr>
          <w:rFonts w:ascii="Arial" w:hAnsi="Arial" w:cs="Arial"/>
          <w:sz w:val="20"/>
          <w:szCs w:val="20"/>
        </w:rPr>
        <w:t>Role of the Investment Committee</w:t>
      </w:r>
    </w:p>
    <w:p w14:paraId="7A8EBBC1" w14:textId="77777777" w:rsidR="00A77283" w:rsidRPr="00A77283" w:rsidRDefault="00A77283" w:rsidP="00603512">
      <w:pPr>
        <w:ind w:left="1170"/>
        <w:jc w:val="both"/>
        <w:rPr>
          <w:rFonts w:ascii="Arial" w:hAnsi="Arial" w:cs="Arial"/>
          <w:sz w:val="20"/>
          <w:szCs w:val="20"/>
        </w:rPr>
      </w:pPr>
      <w:r w:rsidRPr="00A77283">
        <w:rPr>
          <w:rFonts w:ascii="Arial" w:hAnsi="Arial" w:cs="Arial"/>
          <w:sz w:val="20"/>
          <w:szCs w:val="20"/>
        </w:rPr>
        <w:t>The Terms of Reference of the Investment Committee are derived from two sources:</w:t>
      </w:r>
    </w:p>
    <w:p w14:paraId="50C5CB81" w14:textId="77777777" w:rsidR="00A77283" w:rsidRPr="00A77283" w:rsidRDefault="00A77283" w:rsidP="00A77283">
      <w:pPr>
        <w:ind w:left="720"/>
        <w:jc w:val="both"/>
        <w:rPr>
          <w:rFonts w:ascii="Arial" w:hAnsi="Arial" w:cs="Arial"/>
          <w:sz w:val="20"/>
          <w:szCs w:val="20"/>
        </w:rPr>
      </w:pPr>
    </w:p>
    <w:p w14:paraId="4F1CFF63" w14:textId="77777777" w:rsidR="00A77283" w:rsidRPr="00A77283" w:rsidRDefault="00A77283" w:rsidP="00603512">
      <w:pPr>
        <w:pStyle w:val="ListParagraph"/>
        <w:numPr>
          <w:ilvl w:val="0"/>
          <w:numId w:val="1"/>
        </w:numPr>
        <w:tabs>
          <w:tab w:val="left" w:pos="1620"/>
        </w:tabs>
        <w:spacing w:after="0" w:line="240" w:lineRule="auto"/>
        <w:ind w:left="1170" w:firstLine="0"/>
        <w:jc w:val="both"/>
        <w:rPr>
          <w:rFonts w:ascii="Arial" w:hAnsi="Arial" w:cs="Arial"/>
          <w:sz w:val="20"/>
          <w:szCs w:val="20"/>
          <w:lang w:val="en-GB"/>
        </w:rPr>
      </w:pPr>
      <w:r w:rsidRPr="00A77283">
        <w:rPr>
          <w:rFonts w:ascii="Arial" w:hAnsi="Arial" w:cs="Arial"/>
          <w:sz w:val="20"/>
          <w:szCs w:val="20"/>
          <w:lang w:val="en-GB"/>
        </w:rPr>
        <w:t xml:space="preserve">  The Queen’s University (Trust Scheme) Order (NI) 1982 –</w:t>
      </w:r>
    </w:p>
    <w:p w14:paraId="267E458B" w14:textId="77777777" w:rsidR="00A77283" w:rsidRPr="00A77283" w:rsidRDefault="00A77283" w:rsidP="00A77283">
      <w:pPr>
        <w:pStyle w:val="ListParagraph"/>
        <w:tabs>
          <w:tab w:val="left" w:pos="1260"/>
        </w:tabs>
        <w:spacing w:after="0" w:line="240" w:lineRule="auto"/>
        <w:jc w:val="both"/>
        <w:rPr>
          <w:rFonts w:ascii="Arial" w:hAnsi="Arial" w:cs="Arial"/>
          <w:sz w:val="20"/>
          <w:szCs w:val="20"/>
          <w:lang w:val="en-GB"/>
        </w:rPr>
      </w:pPr>
    </w:p>
    <w:p w14:paraId="553EB166" w14:textId="1820D70F" w:rsidR="00A77283" w:rsidRDefault="00A77283" w:rsidP="00603512">
      <w:pPr>
        <w:ind w:left="1980" w:hanging="270"/>
        <w:jc w:val="both"/>
        <w:rPr>
          <w:rFonts w:ascii="Arial" w:hAnsi="Arial" w:cs="Arial"/>
          <w:sz w:val="20"/>
          <w:szCs w:val="20"/>
        </w:rPr>
      </w:pPr>
      <w:r w:rsidRPr="00A77283">
        <w:rPr>
          <w:rFonts w:ascii="Arial" w:hAnsi="Arial" w:cs="Arial"/>
          <w:sz w:val="20"/>
          <w:szCs w:val="20"/>
        </w:rPr>
        <w:lastRenderedPageBreak/>
        <w:t xml:space="preserve">• </w:t>
      </w:r>
      <w:r w:rsidRPr="00A77283">
        <w:rPr>
          <w:rFonts w:ascii="Arial" w:hAnsi="Arial" w:cs="Arial"/>
          <w:sz w:val="20"/>
          <w:szCs w:val="20"/>
        </w:rPr>
        <w:tab/>
        <w:t xml:space="preserve">To advise </w:t>
      </w:r>
      <w:r w:rsidR="009E4436">
        <w:rPr>
          <w:rFonts w:ascii="Arial" w:hAnsi="Arial" w:cs="Arial"/>
          <w:sz w:val="20"/>
          <w:szCs w:val="20"/>
        </w:rPr>
        <w:t>PFC</w:t>
      </w:r>
      <w:r w:rsidRPr="00A77283">
        <w:rPr>
          <w:rFonts w:ascii="Arial" w:hAnsi="Arial" w:cs="Arial"/>
          <w:sz w:val="20"/>
          <w:szCs w:val="20"/>
        </w:rPr>
        <w:t xml:space="preserve"> upon the investment, sale or reinvestment of any of the funds comprised in the Investment Fund and of any other funds or monies which shall at any time be or become subject to this Scheme.</w:t>
      </w:r>
    </w:p>
    <w:p w14:paraId="61286FF8" w14:textId="77777777" w:rsidR="00386A2A" w:rsidRPr="00A77283" w:rsidRDefault="00386A2A" w:rsidP="00603512">
      <w:pPr>
        <w:ind w:left="1980" w:hanging="270"/>
        <w:jc w:val="both"/>
        <w:rPr>
          <w:rFonts w:ascii="Arial" w:hAnsi="Arial" w:cs="Arial"/>
          <w:sz w:val="20"/>
          <w:szCs w:val="20"/>
        </w:rPr>
      </w:pPr>
    </w:p>
    <w:p w14:paraId="675C55BB" w14:textId="3EE7277A" w:rsidR="00A77283" w:rsidRPr="00A77283" w:rsidRDefault="00A77283" w:rsidP="00603512">
      <w:pPr>
        <w:ind w:left="1980" w:hanging="270"/>
        <w:jc w:val="both"/>
        <w:rPr>
          <w:rFonts w:ascii="Arial" w:hAnsi="Arial" w:cs="Arial"/>
          <w:sz w:val="20"/>
          <w:szCs w:val="20"/>
        </w:rPr>
      </w:pPr>
      <w:r w:rsidRPr="00A77283">
        <w:rPr>
          <w:rFonts w:ascii="Arial" w:hAnsi="Arial" w:cs="Arial"/>
          <w:sz w:val="20"/>
          <w:szCs w:val="20"/>
        </w:rPr>
        <w:t xml:space="preserve">• </w:t>
      </w:r>
      <w:r w:rsidRPr="00A77283">
        <w:rPr>
          <w:rFonts w:ascii="Arial" w:hAnsi="Arial" w:cs="Arial"/>
          <w:sz w:val="20"/>
          <w:szCs w:val="20"/>
        </w:rPr>
        <w:tab/>
        <w:t xml:space="preserve">In accordance with any authority from time to time conferred on it by </w:t>
      </w:r>
      <w:r w:rsidR="009E4436">
        <w:rPr>
          <w:rFonts w:ascii="Arial" w:hAnsi="Arial" w:cs="Arial"/>
          <w:sz w:val="20"/>
          <w:szCs w:val="20"/>
        </w:rPr>
        <w:t>PFC</w:t>
      </w:r>
      <w:r w:rsidRPr="00A77283">
        <w:rPr>
          <w:rFonts w:ascii="Arial" w:hAnsi="Arial" w:cs="Arial"/>
          <w:sz w:val="20"/>
          <w:szCs w:val="20"/>
        </w:rPr>
        <w:t xml:space="preserve"> to buy, sell or otherwise deal with stocks, shares and securities of all kinds including real property or any interest therein for and on behalf of the University for the Investment Fund.</w:t>
      </w:r>
    </w:p>
    <w:p w14:paraId="5C51E290" w14:textId="77777777" w:rsidR="00A77283" w:rsidRPr="00A77283" w:rsidRDefault="00A77283" w:rsidP="00A77283">
      <w:pPr>
        <w:ind w:left="720" w:hanging="720"/>
        <w:jc w:val="both"/>
        <w:rPr>
          <w:rFonts w:ascii="Arial" w:hAnsi="Arial" w:cs="Arial"/>
          <w:sz w:val="20"/>
          <w:szCs w:val="20"/>
        </w:rPr>
      </w:pPr>
    </w:p>
    <w:p w14:paraId="4C6DA346" w14:textId="372481AC" w:rsidR="00A77283" w:rsidRPr="00A77283" w:rsidRDefault="00625685" w:rsidP="00625685">
      <w:pPr>
        <w:tabs>
          <w:tab w:val="left" w:pos="1800"/>
        </w:tabs>
        <w:ind w:left="1170"/>
        <w:jc w:val="both"/>
        <w:rPr>
          <w:rFonts w:ascii="Arial" w:hAnsi="Arial" w:cs="Arial"/>
          <w:sz w:val="20"/>
          <w:szCs w:val="20"/>
        </w:rPr>
      </w:pPr>
      <w:r>
        <w:rPr>
          <w:rFonts w:ascii="Arial" w:hAnsi="Arial" w:cs="Arial"/>
          <w:sz w:val="20"/>
          <w:szCs w:val="20"/>
        </w:rPr>
        <w:t xml:space="preserve">(b)  </w:t>
      </w:r>
      <w:r>
        <w:rPr>
          <w:rFonts w:ascii="Arial" w:hAnsi="Arial" w:cs="Arial"/>
          <w:sz w:val="20"/>
          <w:szCs w:val="20"/>
        </w:rPr>
        <w:tab/>
      </w:r>
      <w:r w:rsidR="009E4436">
        <w:rPr>
          <w:rFonts w:ascii="Arial" w:hAnsi="Arial" w:cs="Arial"/>
          <w:sz w:val="20"/>
          <w:szCs w:val="20"/>
        </w:rPr>
        <w:t>PFC</w:t>
      </w:r>
      <w:r w:rsidR="00A77283" w:rsidRPr="00A77283">
        <w:rPr>
          <w:rFonts w:ascii="Arial" w:hAnsi="Arial" w:cs="Arial"/>
          <w:sz w:val="20"/>
          <w:szCs w:val="20"/>
        </w:rPr>
        <w:t xml:space="preserve"> –</w:t>
      </w:r>
    </w:p>
    <w:p w14:paraId="251DA307" w14:textId="77777777" w:rsidR="00A77283" w:rsidRPr="00A77283" w:rsidRDefault="00A77283" w:rsidP="00A77283">
      <w:pPr>
        <w:tabs>
          <w:tab w:val="left" w:pos="1440"/>
        </w:tabs>
        <w:jc w:val="both"/>
        <w:rPr>
          <w:rFonts w:ascii="Arial" w:hAnsi="Arial" w:cs="Arial"/>
          <w:sz w:val="20"/>
          <w:szCs w:val="20"/>
        </w:rPr>
      </w:pPr>
    </w:p>
    <w:p w14:paraId="7D03FAE9" w14:textId="77777777" w:rsidR="00A77283" w:rsidRDefault="00A77283" w:rsidP="00625685">
      <w:pPr>
        <w:ind w:left="2070" w:hanging="270"/>
        <w:jc w:val="both"/>
        <w:rPr>
          <w:rFonts w:ascii="Arial" w:hAnsi="Arial" w:cs="Arial"/>
          <w:sz w:val="20"/>
          <w:szCs w:val="20"/>
        </w:rPr>
      </w:pPr>
      <w:r w:rsidRPr="00A77283">
        <w:rPr>
          <w:rFonts w:ascii="Arial" w:hAnsi="Arial" w:cs="Arial"/>
          <w:sz w:val="20"/>
          <w:szCs w:val="20"/>
        </w:rPr>
        <w:t xml:space="preserve">• </w:t>
      </w:r>
      <w:r w:rsidRPr="00A77283">
        <w:rPr>
          <w:rFonts w:ascii="Arial" w:hAnsi="Arial" w:cs="Arial"/>
          <w:sz w:val="20"/>
          <w:szCs w:val="20"/>
        </w:rPr>
        <w:tab/>
        <w:t>To provide advice on the investment of general University funds.</w:t>
      </w:r>
    </w:p>
    <w:p w14:paraId="1CBDC5C4" w14:textId="77777777" w:rsidR="00386A2A" w:rsidRPr="00A77283" w:rsidRDefault="00386A2A" w:rsidP="00625685">
      <w:pPr>
        <w:ind w:left="2070" w:hanging="270"/>
        <w:jc w:val="both"/>
        <w:rPr>
          <w:rFonts w:ascii="Arial" w:hAnsi="Arial" w:cs="Arial"/>
          <w:sz w:val="20"/>
          <w:szCs w:val="20"/>
        </w:rPr>
      </w:pPr>
    </w:p>
    <w:p w14:paraId="3758B344" w14:textId="77777777" w:rsidR="00A77283" w:rsidRDefault="00A77283" w:rsidP="00625685">
      <w:pPr>
        <w:ind w:left="2070" w:hanging="270"/>
        <w:jc w:val="both"/>
        <w:rPr>
          <w:rFonts w:ascii="Arial" w:hAnsi="Arial" w:cs="Arial"/>
          <w:sz w:val="20"/>
          <w:szCs w:val="20"/>
        </w:rPr>
      </w:pPr>
      <w:r w:rsidRPr="00A77283">
        <w:rPr>
          <w:rFonts w:ascii="Arial" w:hAnsi="Arial" w:cs="Arial"/>
          <w:sz w:val="20"/>
          <w:szCs w:val="20"/>
        </w:rPr>
        <w:t xml:space="preserve">• </w:t>
      </w:r>
      <w:r w:rsidRPr="00A77283">
        <w:rPr>
          <w:rFonts w:ascii="Arial" w:hAnsi="Arial" w:cs="Arial"/>
          <w:sz w:val="20"/>
          <w:szCs w:val="20"/>
        </w:rPr>
        <w:tab/>
        <w:t>To consider and subsequently report/make recommendations on matters pertinent to the investment of funds, the receipt of income and expenditure incurred and the management of Trust Funds.</w:t>
      </w:r>
    </w:p>
    <w:p w14:paraId="60E200FB" w14:textId="77777777" w:rsidR="002D7881" w:rsidRDefault="002D7881" w:rsidP="002D7881">
      <w:pPr>
        <w:rPr>
          <w:rFonts w:ascii="Arial" w:hAnsi="Arial" w:cs="Arial"/>
          <w:b/>
          <w:sz w:val="20"/>
          <w:szCs w:val="20"/>
        </w:rPr>
      </w:pPr>
    </w:p>
    <w:p w14:paraId="594C8FBF" w14:textId="77777777" w:rsidR="00625685" w:rsidRDefault="00625685" w:rsidP="002D7881">
      <w:pPr>
        <w:rPr>
          <w:rFonts w:ascii="Arial" w:hAnsi="Arial" w:cs="Arial"/>
          <w:b/>
          <w:sz w:val="20"/>
          <w:szCs w:val="20"/>
        </w:rPr>
      </w:pPr>
    </w:p>
    <w:p w14:paraId="6933882C" w14:textId="77777777" w:rsidR="00212BCB" w:rsidRPr="00212BCB" w:rsidRDefault="00A77283" w:rsidP="002D7881">
      <w:pPr>
        <w:rPr>
          <w:rFonts w:ascii="Arial" w:hAnsi="Arial" w:cs="Arial"/>
          <w:sz w:val="20"/>
          <w:szCs w:val="20"/>
        </w:rPr>
      </w:pPr>
      <w:r>
        <w:rPr>
          <w:rFonts w:ascii="Arial" w:hAnsi="Arial" w:cs="Arial"/>
          <w:b/>
          <w:sz w:val="20"/>
          <w:szCs w:val="20"/>
        </w:rPr>
        <w:t>2.</w:t>
      </w:r>
      <w:r>
        <w:rPr>
          <w:rFonts w:ascii="Arial" w:hAnsi="Arial" w:cs="Arial"/>
          <w:b/>
          <w:sz w:val="20"/>
          <w:szCs w:val="20"/>
        </w:rPr>
        <w:tab/>
      </w:r>
      <w:r w:rsidR="00212BCB" w:rsidRPr="00212BCB">
        <w:rPr>
          <w:rFonts w:ascii="Arial" w:hAnsi="Arial" w:cs="Arial"/>
          <w:b/>
          <w:sz w:val="20"/>
          <w:szCs w:val="20"/>
          <w:u w:val="single"/>
        </w:rPr>
        <w:t>Key Definitions</w:t>
      </w:r>
      <w:r w:rsidR="00212BCB">
        <w:rPr>
          <w:rFonts w:ascii="Arial" w:hAnsi="Arial" w:cs="Arial"/>
          <w:sz w:val="20"/>
          <w:szCs w:val="20"/>
        </w:rPr>
        <w:t xml:space="preserve"> </w:t>
      </w:r>
    </w:p>
    <w:p w14:paraId="78FBEE80" w14:textId="77777777" w:rsidR="00212BCB" w:rsidRDefault="00212BCB" w:rsidP="001B1EB5">
      <w:pPr>
        <w:ind w:left="720" w:hanging="720"/>
        <w:rPr>
          <w:rFonts w:ascii="Arial" w:hAnsi="Arial" w:cs="Arial"/>
          <w:b/>
          <w:sz w:val="20"/>
          <w:szCs w:val="20"/>
        </w:rPr>
      </w:pPr>
    </w:p>
    <w:p w14:paraId="5A2830D4" w14:textId="1A183877" w:rsidR="009E4436" w:rsidRDefault="009E4436" w:rsidP="001B1EB5">
      <w:pPr>
        <w:ind w:left="720" w:hanging="720"/>
        <w:rPr>
          <w:rFonts w:ascii="Arial" w:hAnsi="Arial" w:cs="Arial"/>
          <w:b/>
          <w:sz w:val="20"/>
          <w:szCs w:val="20"/>
        </w:rPr>
      </w:pPr>
      <w:r>
        <w:rPr>
          <w:rFonts w:ascii="Arial" w:hAnsi="Arial" w:cs="Arial"/>
          <w:b/>
          <w:sz w:val="20"/>
          <w:szCs w:val="20"/>
        </w:rPr>
        <w:t>2.1</w:t>
      </w:r>
      <w:r>
        <w:rPr>
          <w:rFonts w:ascii="Arial" w:hAnsi="Arial" w:cs="Arial"/>
          <w:b/>
          <w:sz w:val="20"/>
          <w:szCs w:val="20"/>
        </w:rPr>
        <w:tab/>
      </w:r>
      <w:r w:rsidRPr="00AA0E7E">
        <w:rPr>
          <w:rFonts w:ascii="Arial" w:hAnsi="Arial" w:cs="Arial"/>
          <w:sz w:val="20"/>
          <w:szCs w:val="20"/>
        </w:rPr>
        <w:t>In the</w:t>
      </w:r>
      <w:r>
        <w:rPr>
          <w:rFonts w:ascii="Arial" w:hAnsi="Arial" w:cs="Arial"/>
          <w:b/>
          <w:sz w:val="20"/>
          <w:szCs w:val="20"/>
        </w:rPr>
        <w:t xml:space="preserve"> </w:t>
      </w:r>
      <w:r w:rsidRPr="00836469">
        <w:rPr>
          <w:rFonts w:ascii="Arial" w:hAnsi="Arial" w:cs="Arial"/>
          <w:sz w:val="20"/>
          <w:szCs w:val="20"/>
        </w:rPr>
        <w:t>context of this policy the key definitions of the table below will apply.</w:t>
      </w:r>
    </w:p>
    <w:p w14:paraId="5DF1A372" w14:textId="77777777" w:rsidR="009E4436" w:rsidRDefault="009E4436" w:rsidP="001B1EB5">
      <w:pPr>
        <w:ind w:left="720" w:hanging="720"/>
        <w:rPr>
          <w:rFonts w:ascii="Arial" w:hAnsi="Arial" w:cs="Arial"/>
          <w:b/>
          <w:sz w:val="20"/>
          <w:szCs w:val="20"/>
        </w:rPr>
      </w:pPr>
    </w:p>
    <w:tbl>
      <w:tblPr>
        <w:tblStyle w:val="TableGrid"/>
        <w:tblW w:w="8455" w:type="dxa"/>
        <w:tblInd w:w="720" w:type="dxa"/>
        <w:tblLook w:val="04A0" w:firstRow="1" w:lastRow="0" w:firstColumn="1" w:lastColumn="0" w:noHBand="0" w:noVBand="1"/>
      </w:tblPr>
      <w:tblGrid>
        <w:gridCol w:w="2335"/>
        <w:gridCol w:w="6120"/>
      </w:tblGrid>
      <w:tr w:rsidR="00212BCB" w14:paraId="707A8C80" w14:textId="77777777" w:rsidTr="0033708B">
        <w:tc>
          <w:tcPr>
            <w:tcW w:w="2335" w:type="dxa"/>
          </w:tcPr>
          <w:p w14:paraId="73F9A1A1" w14:textId="77777777" w:rsidR="00212BCB" w:rsidRDefault="00212BCB" w:rsidP="001B1EB5">
            <w:pPr>
              <w:rPr>
                <w:rFonts w:ascii="Arial" w:hAnsi="Arial" w:cs="Arial"/>
                <w:b/>
                <w:sz w:val="20"/>
                <w:szCs w:val="20"/>
              </w:rPr>
            </w:pPr>
            <w:r>
              <w:rPr>
                <w:rFonts w:ascii="Arial" w:hAnsi="Arial" w:cs="Arial"/>
                <w:b/>
                <w:sz w:val="20"/>
                <w:szCs w:val="20"/>
              </w:rPr>
              <w:t>Term</w:t>
            </w:r>
          </w:p>
        </w:tc>
        <w:tc>
          <w:tcPr>
            <w:tcW w:w="6120" w:type="dxa"/>
          </w:tcPr>
          <w:p w14:paraId="4ABA8484" w14:textId="77777777" w:rsidR="00212BCB" w:rsidRDefault="00212BCB" w:rsidP="001B1EB5">
            <w:pPr>
              <w:rPr>
                <w:rFonts w:ascii="Arial" w:hAnsi="Arial" w:cs="Arial"/>
                <w:b/>
                <w:sz w:val="20"/>
                <w:szCs w:val="20"/>
              </w:rPr>
            </w:pPr>
            <w:r>
              <w:rPr>
                <w:rFonts w:ascii="Arial" w:hAnsi="Arial" w:cs="Arial"/>
                <w:b/>
                <w:sz w:val="20"/>
                <w:szCs w:val="20"/>
              </w:rPr>
              <w:t>Definition</w:t>
            </w:r>
          </w:p>
        </w:tc>
      </w:tr>
      <w:tr w:rsidR="00212BCB" w14:paraId="1431C89B" w14:textId="77777777" w:rsidTr="0033708B">
        <w:tc>
          <w:tcPr>
            <w:tcW w:w="2335" w:type="dxa"/>
          </w:tcPr>
          <w:p w14:paraId="286CEE75" w14:textId="77777777" w:rsidR="00212BCB" w:rsidRPr="0060718D" w:rsidRDefault="00212BCB" w:rsidP="001B1EB5">
            <w:pPr>
              <w:rPr>
                <w:rFonts w:ascii="Arial" w:hAnsi="Arial" w:cs="Arial"/>
                <w:i/>
                <w:sz w:val="20"/>
                <w:szCs w:val="20"/>
              </w:rPr>
            </w:pPr>
            <w:r w:rsidRPr="0060718D">
              <w:rPr>
                <w:rFonts w:ascii="Arial" w:hAnsi="Arial" w:cs="Arial"/>
                <w:i/>
                <w:sz w:val="20"/>
                <w:szCs w:val="20"/>
              </w:rPr>
              <w:t>ESG</w:t>
            </w:r>
          </w:p>
        </w:tc>
        <w:tc>
          <w:tcPr>
            <w:tcW w:w="6120" w:type="dxa"/>
          </w:tcPr>
          <w:p w14:paraId="7604BDF7" w14:textId="0E8F7E60" w:rsidR="00212BCB" w:rsidRPr="0060718D" w:rsidRDefault="00212BCB" w:rsidP="008817A1">
            <w:pPr>
              <w:jc w:val="both"/>
              <w:rPr>
                <w:rFonts w:ascii="Arial" w:hAnsi="Arial" w:cs="Arial"/>
                <w:i/>
                <w:sz w:val="20"/>
                <w:szCs w:val="20"/>
              </w:rPr>
            </w:pPr>
            <w:r w:rsidRPr="0060718D">
              <w:rPr>
                <w:rFonts w:ascii="Arial" w:hAnsi="Arial" w:cs="Arial"/>
                <w:i/>
                <w:sz w:val="20"/>
                <w:szCs w:val="20"/>
              </w:rPr>
              <w:t>An acronym that stands for “environmental, social and corporate governance”.  ESG factors encompass a broad range of issues that some investors consider alongside traditional financial factors when assessing companies for potential investment.  No definitive list of ESG issues exists, but examples include: energy and resource management (environmental); labour relations and product safety (social</w:t>
            </w:r>
            <w:r w:rsidR="009D3748">
              <w:rPr>
                <w:rFonts w:ascii="Arial" w:hAnsi="Arial" w:cs="Arial"/>
                <w:i/>
                <w:sz w:val="20"/>
                <w:szCs w:val="20"/>
              </w:rPr>
              <w:t>);</w:t>
            </w:r>
            <w:r w:rsidRPr="0060718D">
              <w:rPr>
                <w:rFonts w:ascii="Arial" w:hAnsi="Arial" w:cs="Arial"/>
                <w:i/>
                <w:sz w:val="20"/>
                <w:szCs w:val="20"/>
              </w:rPr>
              <w:t xml:space="preserve"> and executive remuneration (corporate governance).</w:t>
            </w:r>
          </w:p>
          <w:p w14:paraId="2EF8A72A" w14:textId="77777777" w:rsidR="00212BCB" w:rsidRPr="0060718D" w:rsidRDefault="00212BCB" w:rsidP="001B1EB5">
            <w:pPr>
              <w:rPr>
                <w:rFonts w:ascii="Arial" w:hAnsi="Arial" w:cs="Arial"/>
                <w:i/>
                <w:sz w:val="20"/>
                <w:szCs w:val="20"/>
              </w:rPr>
            </w:pPr>
          </w:p>
        </w:tc>
      </w:tr>
      <w:tr w:rsidR="00212BCB" w:rsidRPr="00803065" w14:paraId="78852135" w14:textId="77777777" w:rsidTr="00897C34">
        <w:trPr>
          <w:trHeight w:val="1798"/>
        </w:trPr>
        <w:tc>
          <w:tcPr>
            <w:tcW w:w="2335" w:type="dxa"/>
          </w:tcPr>
          <w:p w14:paraId="54E9ADAF" w14:textId="77777777" w:rsidR="00212BCB" w:rsidRPr="0060718D" w:rsidRDefault="00212BCB" w:rsidP="001B1EB5">
            <w:pPr>
              <w:rPr>
                <w:rFonts w:ascii="Arial" w:hAnsi="Arial" w:cs="Arial"/>
                <w:i/>
                <w:sz w:val="20"/>
                <w:szCs w:val="20"/>
              </w:rPr>
            </w:pPr>
            <w:r w:rsidRPr="0060718D">
              <w:rPr>
                <w:rFonts w:ascii="Arial" w:hAnsi="Arial" w:cs="Arial"/>
                <w:i/>
                <w:sz w:val="20"/>
                <w:szCs w:val="20"/>
              </w:rPr>
              <w:t>Responsible Investment (RI)</w:t>
            </w:r>
          </w:p>
        </w:tc>
        <w:tc>
          <w:tcPr>
            <w:tcW w:w="6120" w:type="dxa"/>
          </w:tcPr>
          <w:p w14:paraId="0C857FD1" w14:textId="43230C5B" w:rsidR="00212BCB" w:rsidRPr="0060718D" w:rsidRDefault="00212BCB" w:rsidP="00897C34">
            <w:pPr>
              <w:jc w:val="both"/>
              <w:rPr>
                <w:rFonts w:ascii="Arial" w:hAnsi="Arial" w:cs="Arial"/>
                <w:i/>
                <w:sz w:val="20"/>
                <w:szCs w:val="20"/>
              </w:rPr>
            </w:pPr>
            <w:r w:rsidRPr="0060718D">
              <w:rPr>
                <w:rFonts w:ascii="Arial" w:hAnsi="Arial" w:cs="Arial"/>
                <w:i/>
                <w:sz w:val="20"/>
                <w:szCs w:val="20"/>
              </w:rPr>
              <w:t xml:space="preserve">An investment approach that focuses on the integration of </w:t>
            </w:r>
            <w:r w:rsidR="009E4436">
              <w:rPr>
                <w:rFonts w:ascii="Arial" w:hAnsi="Arial" w:cs="Arial"/>
                <w:i/>
                <w:sz w:val="20"/>
                <w:szCs w:val="20"/>
              </w:rPr>
              <w:t>ESG</w:t>
            </w:r>
            <w:r w:rsidRPr="0060718D">
              <w:rPr>
                <w:rFonts w:ascii="Arial" w:hAnsi="Arial" w:cs="Arial"/>
                <w:i/>
                <w:sz w:val="20"/>
                <w:szCs w:val="20"/>
              </w:rPr>
              <w:t xml:space="preserve"> considerations into investment management processes and ownership practices in the belief that these factors can have a</w:t>
            </w:r>
            <w:r w:rsidR="00E26427">
              <w:rPr>
                <w:rFonts w:ascii="Arial" w:hAnsi="Arial" w:cs="Arial"/>
                <w:i/>
                <w:sz w:val="20"/>
                <w:szCs w:val="20"/>
              </w:rPr>
              <w:t xml:space="preserve"> positive societal impact and the recognition that the generation of long-term sustainable returns is dependent on stable, well-functioning and well governed social, environmental and economic systems.</w:t>
            </w:r>
          </w:p>
        </w:tc>
      </w:tr>
      <w:tr w:rsidR="004B4E1C" w14:paraId="541B0CCA" w14:textId="77777777" w:rsidTr="0033708B">
        <w:tc>
          <w:tcPr>
            <w:tcW w:w="2335" w:type="dxa"/>
          </w:tcPr>
          <w:p w14:paraId="6C0268EB" w14:textId="77777777" w:rsidR="004B4E1C" w:rsidRPr="0060718D" w:rsidRDefault="004B4E1C" w:rsidP="001B1EB5">
            <w:pPr>
              <w:rPr>
                <w:rFonts w:ascii="Arial" w:hAnsi="Arial" w:cs="Arial"/>
                <w:i/>
                <w:sz w:val="20"/>
                <w:szCs w:val="20"/>
              </w:rPr>
            </w:pPr>
            <w:r w:rsidRPr="0060718D">
              <w:rPr>
                <w:rFonts w:ascii="Arial" w:hAnsi="Arial" w:cs="Arial"/>
                <w:i/>
                <w:sz w:val="20"/>
                <w:szCs w:val="20"/>
              </w:rPr>
              <w:t>United Nations Principles for Responsible Investment (UNPRI)</w:t>
            </w:r>
          </w:p>
        </w:tc>
        <w:tc>
          <w:tcPr>
            <w:tcW w:w="6120" w:type="dxa"/>
          </w:tcPr>
          <w:p w14:paraId="337FE340" w14:textId="77777777" w:rsidR="004B4E1C" w:rsidRPr="0060718D" w:rsidRDefault="004B4E1C" w:rsidP="008817A1">
            <w:pPr>
              <w:jc w:val="both"/>
              <w:rPr>
                <w:rFonts w:ascii="Arial" w:hAnsi="Arial" w:cs="Arial"/>
                <w:i/>
                <w:sz w:val="20"/>
                <w:szCs w:val="20"/>
              </w:rPr>
            </w:pPr>
            <w:r w:rsidRPr="0060718D">
              <w:rPr>
                <w:rFonts w:ascii="Arial" w:hAnsi="Arial" w:cs="Arial"/>
                <w:i/>
                <w:sz w:val="20"/>
                <w:szCs w:val="20"/>
              </w:rPr>
              <w:t>Signatories of the UNPRI will comply with the following:</w:t>
            </w:r>
          </w:p>
          <w:p w14:paraId="4C3DED09" w14:textId="77777777" w:rsidR="004B4E1C" w:rsidRPr="0060718D" w:rsidRDefault="004B4E1C" w:rsidP="008817A1">
            <w:pPr>
              <w:jc w:val="both"/>
              <w:rPr>
                <w:rFonts w:ascii="Arial" w:hAnsi="Arial" w:cs="Arial"/>
                <w:i/>
                <w:sz w:val="20"/>
                <w:szCs w:val="20"/>
              </w:rPr>
            </w:pPr>
          </w:p>
          <w:p w14:paraId="7EBB437D" w14:textId="77777777" w:rsidR="004B4E1C" w:rsidRPr="0060718D" w:rsidRDefault="004B4E1C" w:rsidP="004B4E1C">
            <w:pPr>
              <w:pStyle w:val="ListParagraph"/>
              <w:numPr>
                <w:ilvl w:val="0"/>
                <w:numId w:val="4"/>
              </w:numPr>
              <w:spacing w:after="0" w:line="240" w:lineRule="auto"/>
              <w:ind w:left="346" w:hanging="274"/>
              <w:jc w:val="both"/>
              <w:rPr>
                <w:rFonts w:ascii="Arial" w:hAnsi="Arial" w:cs="Arial"/>
                <w:i/>
                <w:sz w:val="20"/>
                <w:szCs w:val="20"/>
              </w:rPr>
            </w:pPr>
            <w:r w:rsidRPr="0060718D">
              <w:rPr>
                <w:rFonts w:ascii="Arial" w:hAnsi="Arial" w:cs="Arial"/>
                <w:i/>
                <w:sz w:val="20"/>
                <w:szCs w:val="20"/>
              </w:rPr>
              <w:t>They will incorporate ESG issues into investment analysis and decision making processes.</w:t>
            </w:r>
          </w:p>
          <w:p w14:paraId="71190EB7" w14:textId="77777777" w:rsidR="004B4E1C" w:rsidRPr="0060718D" w:rsidRDefault="004B4E1C" w:rsidP="004B4E1C">
            <w:pPr>
              <w:pStyle w:val="ListParagraph"/>
              <w:numPr>
                <w:ilvl w:val="0"/>
                <w:numId w:val="4"/>
              </w:numPr>
              <w:spacing w:after="0" w:line="240" w:lineRule="auto"/>
              <w:ind w:left="346" w:hanging="274"/>
              <w:jc w:val="both"/>
              <w:rPr>
                <w:rFonts w:ascii="Arial" w:hAnsi="Arial" w:cs="Arial"/>
                <w:i/>
                <w:sz w:val="20"/>
                <w:szCs w:val="20"/>
              </w:rPr>
            </w:pPr>
            <w:r w:rsidRPr="0060718D">
              <w:rPr>
                <w:rFonts w:ascii="Arial" w:hAnsi="Arial" w:cs="Arial"/>
                <w:i/>
                <w:sz w:val="20"/>
                <w:szCs w:val="20"/>
              </w:rPr>
              <w:t>They will be active owners and incorporate ESG issues into their ownership principles and practices.</w:t>
            </w:r>
          </w:p>
          <w:p w14:paraId="69566981" w14:textId="77777777" w:rsidR="004B4E1C" w:rsidRPr="0060718D" w:rsidRDefault="004B4E1C" w:rsidP="004B4E1C">
            <w:pPr>
              <w:pStyle w:val="ListParagraph"/>
              <w:numPr>
                <w:ilvl w:val="0"/>
                <w:numId w:val="4"/>
              </w:numPr>
              <w:spacing w:after="0" w:line="240" w:lineRule="auto"/>
              <w:ind w:left="346" w:hanging="274"/>
              <w:jc w:val="both"/>
              <w:rPr>
                <w:rFonts w:ascii="Arial" w:hAnsi="Arial" w:cs="Arial"/>
                <w:i/>
                <w:sz w:val="20"/>
                <w:szCs w:val="20"/>
              </w:rPr>
            </w:pPr>
            <w:r w:rsidRPr="0060718D">
              <w:rPr>
                <w:rFonts w:ascii="Arial" w:hAnsi="Arial" w:cs="Arial"/>
                <w:i/>
                <w:sz w:val="20"/>
                <w:szCs w:val="20"/>
              </w:rPr>
              <w:t>They will seek appropriate disclosure on ESG issues by the entities in which they invest.</w:t>
            </w:r>
          </w:p>
          <w:p w14:paraId="331A70C7" w14:textId="77777777" w:rsidR="004B4E1C" w:rsidRPr="0060718D" w:rsidRDefault="004B4E1C" w:rsidP="004B4E1C">
            <w:pPr>
              <w:pStyle w:val="ListParagraph"/>
              <w:numPr>
                <w:ilvl w:val="0"/>
                <w:numId w:val="4"/>
              </w:numPr>
              <w:spacing w:after="0" w:line="240" w:lineRule="auto"/>
              <w:ind w:left="346" w:hanging="274"/>
              <w:jc w:val="both"/>
              <w:rPr>
                <w:rFonts w:ascii="Arial" w:hAnsi="Arial" w:cs="Arial"/>
                <w:i/>
                <w:sz w:val="20"/>
                <w:szCs w:val="20"/>
              </w:rPr>
            </w:pPr>
            <w:r w:rsidRPr="0060718D">
              <w:rPr>
                <w:rFonts w:ascii="Arial" w:hAnsi="Arial" w:cs="Arial"/>
                <w:i/>
                <w:sz w:val="20"/>
                <w:szCs w:val="20"/>
              </w:rPr>
              <w:t>They will promote the acceptance and implementation of the Principles within the investment industry.</w:t>
            </w:r>
          </w:p>
          <w:p w14:paraId="18653FE3" w14:textId="77777777" w:rsidR="004B4E1C" w:rsidRPr="0060718D" w:rsidRDefault="004B4E1C" w:rsidP="004B4E1C">
            <w:pPr>
              <w:pStyle w:val="ListParagraph"/>
              <w:numPr>
                <w:ilvl w:val="0"/>
                <w:numId w:val="4"/>
              </w:numPr>
              <w:spacing w:after="0" w:line="240" w:lineRule="auto"/>
              <w:ind w:left="346" w:hanging="274"/>
              <w:jc w:val="both"/>
              <w:rPr>
                <w:rFonts w:ascii="Arial" w:hAnsi="Arial" w:cs="Arial"/>
                <w:i/>
                <w:sz w:val="20"/>
                <w:szCs w:val="20"/>
              </w:rPr>
            </w:pPr>
            <w:r w:rsidRPr="0060718D">
              <w:rPr>
                <w:rFonts w:ascii="Arial" w:hAnsi="Arial" w:cs="Arial"/>
                <w:i/>
                <w:sz w:val="20"/>
                <w:szCs w:val="20"/>
              </w:rPr>
              <w:t>They will work together with other investors to enhance their effectiveness in implementing the Principles.</w:t>
            </w:r>
          </w:p>
          <w:p w14:paraId="7F50A6C7" w14:textId="77777777" w:rsidR="004B4E1C" w:rsidRPr="0060718D" w:rsidRDefault="004B4E1C" w:rsidP="004B4E1C">
            <w:pPr>
              <w:pStyle w:val="ListParagraph"/>
              <w:numPr>
                <w:ilvl w:val="0"/>
                <w:numId w:val="4"/>
              </w:numPr>
              <w:spacing w:after="0" w:line="240" w:lineRule="auto"/>
              <w:ind w:left="346" w:hanging="274"/>
              <w:jc w:val="both"/>
              <w:rPr>
                <w:rFonts w:ascii="Arial" w:hAnsi="Arial" w:cs="Arial"/>
                <w:i/>
                <w:sz w:val="20"/>
                <w:szCs w:val="20"/>
              </w:rPr>
            </w:pPr>
            <w:r w:rsidRPr="0060718D">
              <w:rPr>
                <w:rFonts w:ascii="Arial" w:hAnsi="Arial" w:cs="Arial"/>
                <w:i/>
                <w:sz w:val="20"/>
                <w:szCs w:val="20"/>
              </w:rPr>
              <w:t>They will report on their activities and progress towards implementing the Principles.</w:t>
            </w:r>
          </w:p>
        </w:tc>
      </w:tr>
    </w:tbl>
    <w:p w14:paraId="2CC67BD3" w14:textId="77777777" w:rsidR="00212BCB" w:rsidRDefault="00212BCB" w:rsidP="001B1EB5">
      <w:pPr>
        <w:ind w:left="720" w:hanging="720"/>
        <w:rPr>
          <w:rFonts w:ascii="Arial" w:hAnsi="Arial" w:cs="Arial"/>
          <w:b/>
          <w:sz w:val="20"/>
          <w:szCs w:val="20"/>
        </w:rPr>
      </w:pPr>
    </w:p>
    <w:p w14:paraId="55890A58" w14:textId="065F527B" w:rsidR="00212BCB" w:rsidRDefault="00BB5B55" w:rsidP="00AA0E7E">
      <w:pPr>
        <w:ind w:left="720" w:hanging="720"/>
        <w:jc w:val="both"/>
        <w:rPr>
          <w:rFonts w:ascii="Arial" w:hAnsi="Arial" w:cs="Arial"/>
          <w:i/>
          <w:sz w:val="20"/>
          <w:szCs w:val="20"/>
        </w:rPr>
      </w:pPr>
      <w:r>
        <w:rPr>
          <w:rFonts w:ascii="Arial" w:hAnsi="Arial" w:cs="Arial"/>
          <w:b/>
          <w:sz w:val="20"/>
          <w:szCs w:val="20"/>
        </w:rPr>
        <w:tab/>
      </w:r>
      <w:proofErr w:type="gramStart"/>
      <w:r w:rsidR="00E26427" w:rsidRPr="00AA0E7E">
        <w:rPr>
          <w:rFonts w:ascii="Arial" w:hAnsi="Arial" w:cs="Arial"/>
          <w:i/>
          <w:sz w:val="20"/>
          <w:szCs w:val="20"/>
        </w:rPr>
        <w:t>Note :-</w:t>
      </w:r>
      <w:proofErr w:type="gramEnd"/>
      <w:r w:rsidR="00E26427" w:rsidRPr="00AA0E7E">
        <w:rPr>
          <w:rFonts w:ascii="Arial" w:hAnsi="Arial" w:cs="Arial"/>
          <w:i/>
          <w:sz w:val="20"/>
          <w:szCs w:val="20"/>
        </w:rPr>
        <w:t xml:space="preserve"> In the context of this policy the singular term University has been used throughout</w:t>
      </w:r>
      <w:r w:rsidR="00A52E34" w:rsidRPr="00AA0E7E">
        <w:rPr>
          <w:rFonts w:ascii="Arial" w:hAnsi="Arial" w:cs="Arial"/>
          <w:i/>
          <w:sz w:val="20"/>
          <w:szCs w:val="20"/>
        </w:rPr>
        <w:t>.  I</w:t>
      </w:r>
      <w:r w:rsidR="003C7B34" w:rsidRPr="00AA0E7E">
        <w:rPr>
          <w:rFonts w:ascii="Arial" w:hAnsi="Arial" w:cs="Arial"/>
          <w:i/>
          <w:sz w:val="20"/>
          <w:szCs w:val="20"/>
        </w:rPr>
        <w:t>n practice the action</w:t>
      </w:r>
      <w:r w:rsidR="00840437" w:rsidRPr="00AA0E7E">
        <w:rPr>
          <w:rFonts w:ascii="Arial" w:hAnsi="Arial" w:cs="Arial"/>
          <w:i/>
          <w:sz w:val="20"/>
          <w:szCs w:val="20"/>
        </w:rPr>
        <w:t>/</w:t>
      </w:r>
      <w:r w:rsidR="00A52E34" w:rsidRPr="00AA0E7E">
        <w:rPr>
          <w:rFonts w:ascii="Arial" w:hAnsi="Arial" w:cs="Arial"/>
          <w:i/>
          <w:sz w:val="20"/>
          <w:szCs w:val="20"/>
        </w:rPr>
        <w:t xml:space="preserve">decision may be effected by a relevant </w:t>
      </w:r>
      <w:proofErr w:type="spellStart"/>
      <w:r w:rsidR="00A52E34" w:rsidRPr="00AA0E7E">
        <w:rPr>
          <w:rFonts w:ascii="Arial" w:hAnsi="Arial" w:cs="Arial"/>
          <w:i/>
          <w:sz w:val="20"/>
          <w:szCs w:val="20"/>
        </w:rPr>
        <w:t>sub committee</w:t>
      </w:r>
      <w:proofErr w:type="spellEnd"/>
      <w:r w:rsidR="00A52E34" w:rsidRPr="00AA0E7E">
        <w:rPr>
          <w:rFonts w:ascii="Arial" w:hAnsi="Arial" w:cs="Arial"/>
          <w:i/>
          <w:sz w:val="20"/>
          <w:szCs w:val="20"/>
        </w:rPr>
        <w:t xml:space="preserve"> under delegated powers.</w:t>
      </w:r>
    </w:p>
    <w:p w14:paraId="1D07678A" w14:textId="77777777" w:rsidR="00897C34" w:rsidRDefault="00897C34" w:rsidP="00AA0E7E">
      <w:pPr>
        <w:ind w:left="720" w:hanging="720"/>
        <w:jc w:val="both"/>
        <w:rPr>
          <w:rFonts w:ascii="Arial" w:hAnsi="Arial" w:cs="Arial"/>
          <w:i/>
          <w:sz w:val="20"/>
          <w:szCs w:val="20"/>
        </w:rPr>
      </w:pPr>
    </w:p>
    <w:p w14:paraId="401BD381" w14:textId="77777777" w:rsidR="00897C34" w:rsidRPr="00AA0E7E" w:rsidRDefault="00897C34" w:rsidP="00AA0E7E">
      <w:pPr>
        <w:ind w:left="720" w:hanging="720"/>
        <w:jc w:val="both"/>
        <w:rPr>
          <w:rFonts w:ascii="Arial" w:hAnsi="Arial" w:cs="Arial"/>
          <w:i/>
          <w:sz w:val="20"/>
          <w:szCs w:val="20"/>
        </w:rPr>
      </w:pPr>
    </w:p>
    <w:p w14:paraId="055EB0C2" w14:textId="77777777" w:rsidR="00A52E34" w:rsidRDefault="00A52E34" w:rsidP="001B1EB5">
      <w:pPr>
        <w:ind w:left="720" w:hanging="720"/>
        <w:rPr>
          <w:rFonts w:ascii="Arial" w:hAnsi="Arial" w:cs="Arial"/>
          <w:b/>
          <w:sz w:val="20"/>
          <w:szCs w:val="20"/>
        </w:rPr>
      </w:pPr>
    </w:p>
    <w:p w14:paraId="1CAFAD57" w14:textId="77777777" w:rsidR="00A52E34" w:rsidRDefault="00A52E34" w:rsidP="001B1EB5">
      <w:pPr>
        <w:ind w:left="720" w:hanging="720"/>
        <w:rPr>
          <w:rFonts w:ascii="Arial" w:hAnsi="Arial" w:cs="Arial"/>
          <w:b/>
          <w:sz w:val="20"/>
          <w:szCs w:val="20"/>
        </w:rPr>
      </w:pPr>
    </w:p>
    <w:p w14:paraId="1A999230" w14:textId="77777777" w:rsidR="001B1EB5" w:rsidRDefault="00BB5B55" w:rsidP="001B1EB5">
      <w:pPr>
        <w:ind w:left="720" w:hanging="720"/>
        <w:rPr>
          <w:rFonts w:ascii="Arial" w:hAnsi="Arial" w:cs="Arial"/>
          <w:sz w:val="20"/>
          <w:szCs w:val="20"/>
        </w:rPr>
      </w:pPr>
      <w:r>
        <w:rPr>
          <w:rFonts w:ascii="Arial" w:hAnsi="Arial" w:cs="Arial"/>
          <w:b/>
          <w:sz w:val="20"/>
          <w:szCs w:val="20"/>
        </w:rPr>
        <w:lastRenderedPageBreak/>
        <w:t>3.</w:t>
      </w:r>
      <w:r>
        <w:rPr>
          <w:rFonts w:ascii="Arial" w:hAnsi="Arial" w:cs="Arial"/>
          <w:b/>
          <w:sz w:val="20"/>
          <w:szCs w:val="20"/>
        </w:rPr>
        <w:tab/>
      </w:r>
      <w:r w:rsidR="00A77283">
        <w:rPr>
          <w:rFonts w:ascii="Arial" w:hAnsi="Arial" w:cs="Arial"/>
          <w:b/>
          <w:sz w:val="20"/>
          <w:szCs w:val="20"/>
          <w:u w:val="single"/>
        </w:rPr>
        <w:t xml:space="preserve">Investment </w:t>
      </w:r>
      <w:r>
        <w:rPr>
          <w:rFonts w:ascii="Arial" w:hAnsi="Arial" w:cs="Arial"/>
          <w:b/>
          <w:sz w:val="20"/>
          <w:szCs w:val="20"/>
          <w:u w:val="single"/>
        </w:rPr>
        <w:t>Strategy</w:t>
      </w:r>
    </w:p>
    <w:p w14:paraId="1089FC07" w14:textId="77777777" w:rsidR="00360331" w:rsidRDefault="00360331" w:rsidP="001B1EB5">
      <w:pPr>
        <w:ind w:left="720" w:hanging="720"/>
        <w:rPr>
          <w:rFonts w:ascii="Arial" w:hAnsi="Arial" w:cs="Arial"/>
          <w:sz w:val="20"/>
          <w:szCs w:val="20"/>
        </w:rPr>
      </w:pPr>
    </w:p>
    <w:p w14:paraId="1896620D" w14:textId="77777777" w:rsidR="00803065" w:rsidRPr="0060718D" w:rsidRDefault="0060718D" w:rsidP="001B1EB5">
      <w:pPr>
        <w:ind w:left="720" w:hanging="720"/>
        <w:rPr>
          <w:rFonts w:ascii="Arial" w:hAnsi="Arial" w:cs="Arial"/>
          <w:b/>
          <w:i/>
          <w:sz w:val="20"/>
          <w:szCs w:val="20"/>
        </w:rPr>
      </w:pPr>
      <w:r w:rsidRPr="0060718D">
        <w:rPr>
          <w:rFonts w:ascii="Arial" w:hAnsi="Arial" w:cs="Arial"/>
          <w:b/>
          <w:i/>
          <w:sz w:val="20"/>
          <w:szCs w:val="20"/>
        </w:rPr>
        <w:t>3.1</w:t>
      </w:r>
      <w:r w:rsidR="00803065" w:rsidRPr="0060718D">
        <w:rPr>
          <w:rFonts w:ascii="Arial" w:hAnsi="Arial" w:cs="Arial"/>
          <w:b/>
          <w:i/>
          <w:sz w:val="20"/>
          <w:szCs w:val="20"/>
        </w:rPr>
        <w:tab/>
        <w:t>Objectives</w:t>
      </w:r>
    </w:p>
    <w:p w14:paraId="5C3C4777" w14:textId="77777777" w:rsidR="00803065" w:rsidRPr="00831F8C" w:rsidRDefault="00803065" w:rsidP="001B1EB5">
      <w:pPr>
        <w:ind w:left="720" w:hanging="720"/>
        <w:rPr>
          <w:rFonts w:ascii="Arial" w:hAnsi="Arial" w:cs="Arial"/>
          <w:i/>
          <w:sz w:val="20"/>
          <w:szCs w:val="20"/>
        </w:rPr>
      </w:pPr>
    </w:p>
    <w:p w14:paraId="4375B844" w14:textId="21DDFB75" w:rsidR="00E23DE4" w:rsidRPr="007A4810" w:rsidRDefault="00E23DE4" w:rsidP="008817A1">
      <w:pPr>
        <w:ind w:left="720" w:hanging="720"/>
        <w:jc w:val="both"/>
        <w:rPr>
          <w:rFonts w:ascii="Arial" w:hAnsi="Arial" w:cs="Arial"/>
          <w:sz w:val="20"/>
          <w:szCs w:val="20"/>
        </w:rPr>
      </w:pPr>
      <w:r w:rsidRPr="00831F8C">
        <w:rPr>
          <w:rFonts w:ascii="Arial" w:hAnsi="Arial" w:cs="Arial"/>
          <w:i/>
          <w:sz w:val="20"/>
          <w:szCs w:val="20"/>
        </w:rPr>
        <w:tab/>
      </w:r>
      <w:r w:rsidRPr="007A4810">
        <w:rPr>
          <w:rFonts w:ascii="Arial" w:hAnsi="Arial" w:cs="Arial"/>
          <w:sz w:val="20"/>
          <w:szCs w:val="20"/>
        </w:rPr>
        <w:t>The primary purpose of the investment of funds is to optimise returns in order to support the specific purposes for which the funding was given to the University.</w:t>
      </w:r>
    </w:p>
    <w:p w14:paraId="162AD821" w14:textId="77777777" w:rsidR="00E23DE4" w:rsidRPr="007A4810" w:rsidRDefault="00E23DE4" w:rsidP="001B1EB5">
      <w:pPr>
        <w:ind w:left="720" w:hanging="720"/>
        <w:rPr>
          <w:rFonts w:ascii="Arial" w:hAnsi="Arial" w:cs="Arial"/>
          <w:sz w:val="20"/>
          <w:szCs w:val="20"/>
        </w:rPr>
      </w:pPr>
    </w:p>
    <w:p w14:paraId="04B23226" w14:textId="35F27285" w:rsidR="00E23DE4" w:rsidRPr="007A4810" w:rsidRDefault="00E23DE4" w:rsidP="001B1EB5">
      <w:pPr>
        <w:ind w:left="720" w:hanging="720"/>
        <w:rPr>
          <w:rFonts w:ascii="Arial" w:hAnsi="Arial" w:cs="Arial"/>
          <w:sz w:val="20"/>
          <w:szCs w:val="20"/>
        </w:rPr>
      </w:pPr>
      <w:r w:rsidRPr="007A4810">
        <w:rPr>
          <w:rFonts w:ascii="Arial" w:hAnsi="Arial" w:cs="Arial"/>
          <w:sz w:val="20"/>
          <w:szCs w:val="20"/>
        </w:rPr>
        <w:tab/>
        <w:t>The University seek</w:t>
      </w:r>
      <w:r w:rsidR="00CE7A46" w:rsidRPr="007A4810">
        <w:rPr>
          <w:rFonts w:ascii="Arial" w:hAnsi="Arial" w:cs="Arial"/>
          <w:sz w:val="20"/>
          <w:szCs w:val="20"/>
        </w:rPr>
        <w:t>s</w:t>
      </w:r>
      <w:r w:rsidRPr="007A4810">
        <w:rPr>
          <w:rFonts w:ascii="Arial" w:hAnsi="Arial" w:cs="Arial"/>
          <w:sz w:val="20"/>
          <w:szCs w:val="20"/>
        </w:rPr>
        <w:t xml:space="preserve"> to achieve the maximum income that is consistent with preserving the real value of capital and income over the long term.</w:t>
      </w:r>
    </w:p>
    <w:p w14:paraId="433A8C35" w14:textId="77777777" w:rsidR="00E23DE4" w:rsidRPr="007A4810" w:rsidRDefault="00E23DE4" w:rsidP="001B1EB5">
      <w:pPr>
        <w:ind w:left="720" w:hanging="720"/>
        <w:rPr>
          <w:rFonts w:ascii="Arial" w:hAnsi="Arial" w:cs="Arial"/>
          <w:sz w:val="20"/>
          <w:szCs w:val="20"/>
        </w:rPr>
      </w:pPr>
    </w:p>
    <w:p w14:paraId="3821B422" w14:textId="77777777" w:rsidR="00E23DE4" w:rsidRPr="007A4810" w:rsidRDefault="00E23DE4" w:rsidP="000C745A">
      <w:pPr>
        <w:ind w:left="720" w:hanging="720"/>
        <w:jc w:val="both"/>
        <w:rPr>
          <w:rFonts w:ascii="Arial" w:hAnsi="Arial" w:cs="Arial"/>
          <w:sz w:val="20"/>
          <w:szCs w:val="20"/>
        </w:rPr>
      </w:pPr>
      <w:r w:rsidRPr="007A4810">
        <w:rPr>
          <w:rFonts w:ascii="Arial" w:hAnsi="Arial" w:cs="Arial"/>
          <w:sz w:val="20"/>
          <w:szCs w:val="20"/>
        </w:rPr>
        <w:tab/>
        <w:t>The University seeks to min</w:t>
      </w:r>
      <w:r w:rsidR="00CE7A46" w:rsidRPr="007A4810">
        <w:rPr>
          <w:rFonts w:ascii="Arial" w:hAnsi="Arial" w:cs="Arial"/>
          <w:sz w:val="20"/>
          <w:szCs w:val="20"/>
        </w:rPr>
        <w:t>imise volatility</w:t>
      </w:r>
      <w:r w:rsidR="00AA51D7" w:rsidRPr="007A4810">
        <w:rPr>
          <w:rFonts w:ascii="Arial" w:hAnsi="Arial" w:cs="Arial"/>
          <w:sz w:val="20"/>
          <w:szCs w:val="20"/>
        </w:rPr>
        <w:t>,</w:t>
      </w:r>
      <w:r w:rsidR="00CE7A46" w:rsidRPr="007A4810">
        <w:rPr>
          <w:rFonts w:ascii="Arial" w:hAnsi="Arial" w:cs="Arial"/>
          <w:sz w:val="20"/>
          <w:szCs w:val="20"/>
        </w:rPr>
        <w:t xml:space="preserve"> whilst meeting</w:t>
      </w:r>
      <w:r w:rsidRPr="007A4810">
        <w:rPr>
          <w:rFonts w:ascii="Arial" w:hAnsi="Arial" w:cs="Arial"/>
          <w:sz w:val="20"/>
          <w:szCs w:val="20"/>
        </w:rPr>
        <w:t xml:space="preserve"> it</w:t>
      </w:r>
      <w:r w:rsidR="00CE7A46" w:rsidRPr="007A4810">
        <w:rPr>
          <w:rFonts w:ascii="Arial" w:hAnsi="Arial" w:cs="Arial"/>
          <w:sz w:val="20"/>
          <w:szCs w:val="20"/>
        </w:rPr>
        <w:t>s</w:t>
      </w:r>
      <w:r w:rsidRPr="007A4810">
        <w:rPr>
          <w:rFonts w:ascii="Arial" w:hAnsi="Arial" w:cs="Arial"/>
          <w:sz w:val="20"/>
          <w:szCs w:val="20"/>
        </w:rPr>
        <w:t xml:space="preserve"> long term objectives</w:t>
      </w:r>
      <w:r w:rsidR="00AA51D7" w:rsidRPr="007A4810">
        <w:rPr>
          <w:rFonts w:ascii="Arial" w:hAnsi="Arial" w:cs="Arial"/>
          <w:sz w:val="20"/>
          <w:szCs w:val="20"/>
        </w:rPr>
        <w:t>,</w:t>
      </w:r>
      <w:r w:rsidRPr="007A4810">
        <w:rPr>
          <w:rFonts w:ascii="Arial" w:hAnsi="Arial" w:cs="Arial"/>
          <w:sz w:val="20"/>
          <w:szCs w:val="20"/>
        </w:rPr>
        <w:t xml:space="preserve"> and has developed appropriate benchmarks in conjunction with e</w:t>
      </w:r>
      <w:r w:rsidR="00E26427" w:rsidRPr="007A4810">
        <w:rPr>
          <w:rFonts w:ascii="Arial" w:hAnsi="Arial" w:cs="Arial"/>
          <w:sz w:val="20"/>
          <w:szCs w:val="20"/>
        </w:rPr>
        <w:t>x</w:t>
      </w:r>
      <w:r w:rsidRPr="007A4810">
        <w:rPr>
          <w:rFonts w:ascii="Arial" w:hAnsi="Arial" w:cs="Arial"/>
          <w:sz w:val="20"/>
          <w:szCs w:val="20"/>
        </w:rPr>
        <w:t>ternal advisors.</w:t>
      </w:r>
      <w:r w:rsidR="000C745A" w:rsidRPr="007A4810">
        <w:rPr>
          <w:rFonts w:ascii="Arial" w:hAnsi="Arial" w:cs="Arial"/>
          <w:sz w:val="20"/>
          <w:szCs w:val="20"/>
        </w:rPr>
        <w:t xml:space="preserve">  The University’s appointed Investment Managers are required to manage the assets of the portfolio in accordance with Client Agreement</w:t>
      </w:r>
      <w:r w:rsidR="00E26427" w:rsidRPr="007A4810">
        <w:rPr>
          <w:rFonts w:ascii="Arial" w:hAnsi="Arial" w:cs="Arial"/>
          <w:sz w:val="20"/>
          <w:szCs w:val="20"/>
        </w:rPr>
        <w:t>s</w:t>
      </w:r>
      <w:r w:rsidR="000C745A" w:rsidRPr="007A4810">
        <w:rPr>
          <w:rFonts w:ascii="Arial" w:hAnsi="Arial" w:cs="Arial"/>
          <w:sz w:val="20"/>
          <w:szCs w:val="20"/>
        </w:rPr>
        <w:t xml:space="preserve"> and in line with the agreed Responsible Investment processes outlined below.</w:t>
      </w:r>
    </w:p>
    <w:p w14:paraId="00083EE4" w14:textId="77777777" w:rsidR="00360331" w:rsidRPr="007A4810" w:rsidRDefault="00360331" w:rsidP="00831F8C">
      <w:pPr>
        <w:jc w:val="both"/>
        <w:rPr>
          <w:rFonts w:ascii="Arial" w:hAnsi="Arial" w:cs="Arial"/>
          <w:sz w:val="20"/>
          <w:szCs w:val="20"/>
        </w:rPr>
      </w:pPr>
    </w:p>
    <w:p w14:paraId="57616FB1" w14:textId="77777777" w:rsidR="00DE0F96" w:rsidRPr="007A4810" w:rsidRDefault="00DE0F96" w:rsidP="00DE0F96">
      <w:pPr>
        <w:rPr>
          <w:rFonts w:ascii="Arial" w:hAnsi="Arial" w:cs="Arial"/>
          <w:b/>
          <w:sz w:val="20"/>
          <w:szCs w:val="20"/>
        </w:rPr>
      </w:pPr>
      <w:r w:rsidRPr="007A4810">
        <w:rPr>
          <w:rFonts w:ascii="Arial" w:hAnsi="Arial" w:cs="Arial"/>
          <w:b/>
          <w:sz w:val="20"/>
          <w:szCs w:val="20"/>
        </w:rPr>
        <w:t>3.</w:t>
      </w:r>
      <w:r w:rsidR="00831F8C" w:rsidRPr="007A4810">
        <w:rPr>
          <w:rFonts w:ascii="Arial" w:hAnsi="Arial" w:cs="Arial"/>
          <w:b/>
          <w:sz w:val="20"/>
          <w:szCs w:val="20"/>
        </w:rPr>
        <w:t>2</w:t>
      </w:r>
      <w:r w:rsidRPr="007A4810">
        <w:rPr>
          <w:rFonts w:ascii="Arial" w:hAnsi="Arial" w:cs="Arial"/>
          <w:b/>
          <w:sz w:val="20"/>
          <w:szCs w:val="20"/>
        </w:rPr>
        <w:tab/>
        <w:t>Choosing and Managing Investments</w:t>
      </w:r>
    </w:p>
    <w:p w14:paraId="5006C25A" w14:textId="77777777" w:rsidR="00DE0F96" w:rsidRPr="007A4810" w:rsidRDefault="00DE0F96" w:rsidP="00360331">
      <w:pPr>
        <w:ind w:left="720"/>
        <w:rPr>
          <w:rFonts w:ascii="Arial" w:hAnsi="Arial" w:cs="Arial"/>
          <w:sz w:val="20"/>
          <w:szCs w:val="20"/>
        </w:rPr>
      </w:pPr>
    </w:p>
    <w:p w14:paraId="2E5AD123" w14:textId="3C676C3D" w:rsidR="00AA51D7" w:rsidRPr="007A4810" w:rsidRDefault="001B4EC3" w:rsidP="008817A1">
      <w:pPr>
        <w:ind w:left="720" w:hanging="720"/>
        <w:jc w:val="both"/>
        <w:rPr>
          <w:rFonts w:ascii="Arial" w:hAnsi="Arial" w:cs="Arial"/>
          <w:sz w:val="20"/>
          <w:szCs w:val="20"/>
        </w:rPr>
      </w:pPr>
      <w:r w:rsidRPr="007A4810">
        <w:rPr>
          <w:rFonts w:ascii="Arial" w:hAnsi="Arial" w:cs="Arial"/>
          <w:sz w:val="20"/>
          <w:szCs w:val="20"/>
        </w:rPr>
        <w:tab/>
      </w:r>
      <w:r w:rsidR="00E26427" w:rsidRPr="007A4810">
        <w:rPr>
          <w:rFonts w:ascii="Arial" w:hAnsi="Arial" w:cs="Arial"/>
          <w:sz w:val="20"/>
          <w:szCs w:val="20"/>
        </w:rPr>
        <w:t xml:space="preserve">It is current University policy not to </w:t>
      </w:r>
      <w:r w:rsidR="00831F8C" w:rsidRPr="007A4810">
        <w:rPr>
          <w:rFonts w:ascii="Arial" w:hAnsi="Arial" w:cs="Arial"/>
          <w:sz w:val="20"/>
          <w:szCs w:val="20"/>
        </w:rPr>
        <w:t xml:space="preserve">hold </w:t>
      </w:r>
      <w:r w:rsidR="00AA7829" w:rsidRPr="007A4810">
        <w:rPr>
          <w:rFonts w:ascii="Arial" w:hAnsi="Arial" w:cs="Arial"/>
          <w:sz w:val="20"/>
          <w:szCs w:val="20"/>
        </w:rPr>
        <w:t>any shares or bonds directly</w:t>
      </w:r>
      <w:r w:rsidR="00831F8C" w:rsidRPr="007A4810">
        <w:rPr>
          <w:rFonts w:ascii="Arial" w:hAnsi="Arial" w:cs="Arial"/>
          <w:sz w:val="20"/>
          <w:szCs w:val="20"/>
        </w:rPr>
        <w:t xml:space="preserve">.  </w:t>
      </w:r>
    </w:p>
    <w:p w14:paraId="6D15E868" w14:textId="77777777" w:rsidR="00AA51D7" w:rsidRPr="007A4810" w:rsidRDefault="00AA51D7" w:rsidP="008817A1">
      <w:pPr>
        <w:ind w:left="720" w:hanging="720"/>
        <w:jc w:val="both"/>
        <w:rPr>
          <w:rFonts w:ascii="Arial" w:hAnsi="Arial" w:cs="Arial"/>
          <w:sz w:val="20"/>
          <w:szCs w:val="20"/>
        </w:rPr>
      </w:pPr>
    </w:p>
    <w:p w14:paraId="7C81BC90" w14:textId="66B02278" w:rsidR="00AA51D7" w:rsidRPr="007A4810" w:rsidRDefault="00831F8C" w:rsidP="00AA51D7">
      <w:pPr>
        <w:ind w:left="720"/>
        <w:jc w:val="both"/>
        <w:rPr>
          <w:rFonts w:ascii="Arial" w:hAnsi="Arial" w:cs="Arial"/>
          <w:sz w:val="20"/>
          <w:szCs w:val="20"/>
        </w:rPr>
      </w:pPr>
      <w:r w:rsidRPr="007A4810">
        <w:rPr>
          <w:rFonts w:ascii="Arial" w:hAnsi="Arial" w:cs="Arial"/>
          <w:sz w:val="20"/>
          <w:szCs w:val="20"/>
        </w:rPr>
        <w:t xml:space="preserve">All </w:t>
      </w:r>
      <w:r w:rsidR="00AA7829" w:rsidRPr="007A4810">
        <w:rPr>
          <w:rFonts w:ascii="Arial" w:hAnsi="Arial" w:cs="Arial"/>
          <w:sz w:val="20"/>
          <w:szCs w:val="20"/>
        </w:rPr>
        <w:t xml:space="preserve">holdings </w:t>
      </w:r>
      <w:r w:rsidRPr="007A4810">
        <w:rPr>
          <w:rFonts w:ascii="Arial" w:hAnsi="Arial" w:cs="Arial"/>
          <w:sz w:val="20"/>
          <w:szCs w:val="20"/>
        </w:rPr>
        <w:t xml:space="preserve">are </w:t>
      </w:r>
      <w:r w:rsidR="00CE7A46" w:rsidRPr="007A4810">
        <w:rPr>
          <w:rFonts w:ascii="Arial" w:hAnsi="Arial" w:cs="Arial"/>
          <w:sz w:val="20"/>
          <w:szCs w:val="20"/>
        </w:rPr>
        <w:t>aggregated into pooled funds for the purposes of investment</w:t>
      </w:r>
      <w:r w:rsidRPr="007A4810">
        <w:rPr>
          <w:rFonts w:ascii="Arial" w:hAnsi="Arial" w:cs="Arial"/>
          <w:sz w:val="20"/>
          <w:szCs w:val="20"/>
        </w:rPr>
        <w:t xml:space="preserve">. </w:t>
      </w:r>
      <w:r w:rsidR="00CE7A46" w:rsidRPr="007A4810">
        <w:rPr>
          <w:rFonts w:ascii="Arial" w:hAnsi="Arial" w:cs="Arial"/>
          <w:sz w:val="20"/>
          <w:szCs w:val="20"/>
        </w:rPr>
        <w:t xml:space="preserve">Pooled fund investments benefit from economies of scale which allow for lower trading costs whilst facilitating diversification and risk reduction within the portfolio.  Investment decisions are made at the pooled level so individual investors have limited direct influence on the specific investments within the fund.  </w:t>
      </w:r>
    </w:p>
    <w:p w14:paraId="182BD7FA" w14:textId="77777777" w:rsidR="00AA51D7" w:rsidRPr="007A4810" w:rsidRDefault="00AA51D7" w:rsidP="00AA51D7">
      <w:pPr>
        <w:ind w:left="720"/>
        <w:jc w:val="both"/>
        <w:rPr>
          <w:rFonts w:ascii="Arial" w:hAnsi="Arial" w:cs="Arial"/>
          <w:sz w:val="20"/>
          <w:szCs w:val="20"/>
        </w:rPr>
      </w:pPr>
    </w:p>
    <w:p w14:paraId="65094871" w14:textId="77777777" w:rsidR="00831F8C" w:rsidRPr="007A4810" w:rsidRDefault="00831F8C" w:rsidP="00AA51D7">
      <w:pPr>
        <w:ind w:left="720"/>
        <w:jc w:val="both"/>
        <w:rPr>
          <w:rFonts w:ascii="Arial" w:hAnsi="Arial" w:cs="Arial"/>
          <w:sz w:val="20"/>
          <w:szCs w:val="20"/>
        </w:rPr>
      </w:pPr>
      <w:r w:rsidRPr="007A4810">
        <w:rPr>
          <w:rFonts w:ascii="Arial" w:hAnsi="Arial" w:cs="Arial"/>
          <w:sz w:val="20"/>
          <w:szCs w:val="20"/>
        </w:rPr>
        <w:t>This policy was reaffirmed by PFC and Senate in November 2015.</w:t>
      </w:r>
    </w:p>
    <w:p w14:paraId="302D00DA" w14:textId="77777777" w:rsidR="00831F8C" w:rsidRPr="007A4810" w:rsidRDefault="00831F8C" w:rsidP="008817A1">
      <w:pPr>
        <w:ind w:left="720" w:hanging="720"/>
        <w:jc w:val="both"/>
        <w:rPr>
          <w:rFonts w:ascii="Arial" w:hAnsi="Arial" w:cs="Arial"/>
          <w:sz w:val="20"/>
          <w:szCs w:val="20"/>
        </w:rPr>
      </w:pPr>
    </w:p>
    <w:p w14:paraId="498670F4" w14:textId="4753FDEE" w:rsidR="00360331" w:rsidRPr="007A4810" w:rsidRDefault="001B4EC3" w:rsidP="00831F8C">
      <w:pPr>
        <w:ind w:left="720"/>
        <w:jc w:val="both"/>
        <w:rPr>
          <w:rFonts w:ascii="Arial" w:hAnsi="Arial" w:cs="Arial"/>
          <w:sz w:val="20"/>
          <w:szCs w:val="20"/>
        </w:rPr>
      </w:pPr>
      <w:r w:rsidRPr="007A4810">
        <w:rPr>
          <w:rFonts w:ascii="Arial" w:hAnsi="Arial" w:cs="Arial"/>
          <w:sz w:val="20"/>
          <w:szCs w:val="20"/>
        </w:rPr>
        <w:t xml:space="preserve">The </w:t>
      </w:r>
      <w:r w:rsidR="00E26427" w:rsidRPr="007A4810">
        <w:rPr>
          <w:rFonts w:ascii="Arial" w:hAnsi="Arial" w:cs="Arial"/>
          <w:sz w:val="20"/>
          <w:szCs w:val="20"/>
        </w:rPr>
        <w:t>University</w:t>
      </w:r>
      <w:r w:rsidRPr="007A4810">
        <w:rPr>
          <w:rFonts w:ascii="Arial" w:hAnsi="Arial" w:cs="Arial"/>
          <w:sz w:val="20"/>
          <w:szCs w:val="20"/>
        </w:rPr>
        <w:t xml:space="preserve"> relie</w:t>
      </w:r>
      <w:r w:rsidR="00360331" w:rsidRPr="007A4810">
        <w:rPr>
          <w:rFonts w:ascii="Arial" w:hAnsi="Arial" w:cs="Arial"/>
          <w:sz w:val="20"/>
          <w:szCs w:val="20"/>
        </w:rPr>
        <w:t>s on professional fund managers for the day-to-day management of the</w:t>
      </w:r>
      <w:r w:rsidR="003C7B34" w:rsidRPr="007A4810">
        <w:rPr>
          <w:rFonts w:ascii="Arial" w:hAnsi="Arial" w:cs="Arial"/>
          <w:sz w:val="20"/>
          <w:szCs w:val="20"/>
        </w:rPr>
        <w:t xml:space="preserve"> investments</w:t>
      </w:r>
      <w:proofErr w:type="gramStart"/>
      <w:r w:rsidR="003C7B34" w:rsidRPr="007A4810">
        <w:rPr>
          <w:rFonts w:ascii="Arial" w:hAnsi="Arial" w:cs="Arial"/>
          <w:sz w:val="20"/>
          <w:szCs w:val="20"/>
        </w:rPr>
        <w:t>.</w:t>
      </w:r>
      <w:r w:rsidR="00360331" w:rsidRPr="007A4810">
        <w:rPr>
          <w:rFonts w:ascii="Arial" w:hAnsi="Arial" w:cs="Arial"/>
          <w:sz w:val="20"/>
          <w:szCs w:val="20"/>
        </w:rPr>
        <w:t>.</w:t>
      </w:r>
      <w:proofErr w:type="gramEnd"/>
    </w:p>
    <w:p w14:paraId="45A81E9A" w14:textId="77777777" w:rsidR="00360331" w:rsidRPr="007A4810" w:rsidRDefault="00360331" w:rsidP="00360331">
      <w:pPr>
        <w:ind w:left="720" w:hanging="720"/>
        <w:rPr>
          <w:rFonts w:ascii="Arial" w:hAnsi="Arial" w:cs="Arial"/>
          <w:sz w:val="20"/>
          <w:szCs w:val="20"/>
        </w:rPr>
      </w:pPr>
    </w:p>
    <w:p w14:paraId="5DAACB3E" w14:textId="7C417ED4" w:rsidR="00360331" w:rsidRPr="007A4810" w:rsidRDefault="00360331" w:rsidP="008817A1">
      <w:pPr>
        <w:ind w:left="720" w:hanging="720"/>
        <w:jc w:val="both"/>
        <w:rPr>
          <w:rFonts w:ascii="Arial" w:hAnsi="Arial" w:cs="Arial"/>
          <w:sz w:val="20"/>
          <w:szCs w:val="20"/>
        </w:rPr>
      </w:pPr>
      <w:r w:rsidRPr="007A4810">
        <w:rPr>
          <w:rFonts w:ascii="Arial" w:hAnsi="Arial" w:cs="Arial"/>
          <w:sz w:val="20"/>
          <w:szCs w:val="20"/>
        </w:rPr>
        <w:tab/>
        <w:t xml:space="preserve">The </w:t>
      </w:r>
      <w:r w:rsidR="00E26427" w:rsidRPr="007A4810">
        <w:rPr>
          <w:rFonts w:ascii="Arial" w:hAnsi="Arial" w:cs="Arial"/>
          <w:sz w:val="20"/>
          <w:szCs w:val="20"/>
        </w:rPr>
        <w:t>University</w:t>
      </w:r>
      <w:r w:rsidRPr="007A4810">
        <w:rPr>
          <w:rFonts w:ascii="Arial" w:hAnsi="Arial" w:cs="Arial"/>
          <w:sz w:val="20"/>
          <w:szCs w:val="20"/>
        </w:rPr>
        <w:t xml:space="preserve"> has determined the types of asset class in which it wishes to invest and has selected </w:t>
      </w:r>
      <w:r w:rsidR="00CE7A46" w:rsidRPr="007A4810">
        <w:rPr>
          <w:rFonts w:ascii="Arial" w:hAnsi="Arial" w:cs="Arial"/>
          <w:sz w:val="20"/>
          <w:szCs w:val="20"/>
        </w:rPr>
        <w:t>two</w:t>
      </w:r>
      <w:r w:rsidRPr="007A4810">
        <w:rPr>
          <w:rFonts w:ascii="Arial" w:hAnsi="Arial" w:cs="Arial"/>
          <w:sz w:val="20"/>
          <w:szCs w:val="20"/>
        </w:rPr>
        <w:t xml:space="preserve"> fund managers to manage particular types of asset class, depending on their areas of expertise.  The current fund managers and their respective mandates are set out in the following table:</w:t>
      </w:r>
    </w:p>
    <w:p w14:paraId="53EC1327" w14:textId="77777777" w:rsidR="00A52E34" w:rsidRPr="00831F8C" w:rsidRDefault="00A52E34" w:rsidP="00360331">
      <w:pPr>
        <w:ind w:left="720" w:hanging="720"/>
        <w:rPr>
          <w:rFonts w:ascii="Arial" w:hAnsi="Arial" w:cs="Arial"/>
          <w:i/>
          <w:sz w:val="20"/>
          <w:szCs w:val="20"/>
        </w:rPr>
      </w:pPr>
    </w:p>
    <w:tbl>
      <w:tblPr>
        <w:tblStyle w:val="TableGrid"/>
        <w:tblW w:w="0" w:type="auto"/>
        <w:tblInd w:w="720" w:type="dxa"/>
        <w:tblLook w:val="04A0" w:firstRow="1" w:lastRow="0" w:firstColumn="1" w:lastColumn="0" w:noHBand="0" w:noVBand="1"/>
      </w:tblPr>
      <w:tblGrid>
        <w:gridCol w:w="2965"/>
        <w:gridCol w:w="5331"/>
      </w:tblGrid>
      <w:tr w:rsidR="00360331" w:rsidRPr="00831F8C" w14:paraId="346440A5" w14:textId="77777777" w:rsidTr="00BE1431">
        <w:tc>
          <w:tcPr>
            <w:tcW w:w="2965" w:type="dxa"/>
            <w:shd w:val="clear" w:color="auto" w:fill="D9D9D9" w:themeFill="background1" w:themeFillShade="D9"/>
          </w:tcPr>
          <w:p w14:paraId="22A7AF7D" w14:textId="77777777" w:rsidR="00360331" w:rsidRPr="00831F8C" w:rsidRDefault="00360331" w:rsidP="00360331">
            <w:pPr>
              <w:rPr>
                <w:rFonts w:ascii="Arial" w:hAnsi="Arial" w:cs="Arial"/>
                <w:i/>
                <w:sz w:val="20"/>
                <w:szCs w:val="20"/>
              </w:rPr>
            </w:pPr>
            <w:r w:rsidRPr="00831F8C">
              <w:rPr>
                <w:rFonts w:ascii="Arial" w:hAnsi="Arial" w:cs="Arial"/>
                <w:i/>
                <w:sz w:val="20"/>
                <w:szCs w:val="20"/>
              </w:rPr>
              <w:t>Manager</w:t>
            </w:r>
          </w:p>
        </w:tc>
        <w:tc>
          <w:tcPr>
            <w:tcW w:w="5331" w:type="dxa"/>
            <w:shd w:val="clear" w:color="auto" w:fill="D9D9D9" w:themeFill="background1" w:themeFillShade="D9"/>
          </w:tcPr>
          <w:p w14:paraId="16040C9B" w14:textId="77777777" w:rsidR="00360331" w:rsidRPr="00831F8C" w:rsidRDefault="00360331" w:rsidP="00360331">
            <w:pPr>
              <w:rPr>
                <w:rFonts w:ascii="Arial" w:hAnsi="Arial" w:cs="Arial"/>
                <w:i/>
                <w:sz w:val="20"/>
                <w:szCs w:val="20"/>
              </w:rPr>
            </w:pPr>
            <w:r w:rsidRPr="00831F8C">
              <w:rPr>
                <w:rFonts w:ascii="Arial" w:hAnsi="Arial" w:cs="Arial"/>
                <w:i/>
                <w:sz w:val="20"/>
                <w:szCs w:val="20"/>
              </w:rPr>
              <w:t>Asset/Market</w:t>
            </w:r>
          </w:p>
        </w:tc>
      </w:tr>
      <w:tr w:rsidR="00360331" w:rsidRPr="00831F8C" w14:paraId="60147BC9" w14:textId="77777777" w:rsidTr="00BE1431">
        <w:tc>
          <w:tcPr>
            <w:tcW w:w="2965" w:type="dxa"/>
          </w:tcPr>
          <w:p w14:paraId="0510C579" w14:textId="77777777" w:rsidR="00360331" w:rsidRPr="00831F8C" w:rsidRDefault="00360331" w:rsidP="00360331">
            <w:pPr>
              <w:rPr>
                <w:rFonts w:ascii="Arial" w:hAnsi="Arial" w:cs="Arial"/>
                <w:i/>
                <w:sz w:val="20"/>
                <w:szCs w:val="20"/>
              </w:rPr>
            </w:pPr>
            <w:proofErr w:type="spellStart"/>
            <w:r w:rsidRPr="00831F8C">
              <w:rPr>
                <w:rFonts w:ascii="Arial" w:hAnsi="Arial" w:cs="Arial"/>
                <w:i/>
                <w:sz w:val="20"/>
                <w:szCs w:val="20"/>
              </w:rPr>
              <w:t>Cazenove</w:t>
            </w:r>
            <w:proofErr w:type="spellEnd"/>
            <w:r w:rsidRPr="00831F8C">
              <w:rPr>
                <w:rFonts w:ascii="Arial" w:hAnsi="Arial" w:cs="Arial"/>
                <w:i/>
                <w:sz w:val="20"/>
                <w:szCs w:val="20"/>
              </w:rPr>
              <w:t xml:space="preserve"> / Schroder </w:t>
            </w:r>
          </w:p>
        </w:tc>
        <w:tc>
          <w:tcPr>
            <w:tcW w:w="5331" w:type="dxa"/>
          </w:tcPr>
          <w:p w14:paraId="6F746A07" w14:textId="3372C987" w:rsidR="00360331" w:rsidRPr="00831F8C" w:rsidRDefault="00360331" w:rsidP="00360331">
            <w:pPr>
              <w:rPr>
                <w:rFonts w:ascii="Arial" w:hAnsi="Arial" w:cs="Arial"/>
                <w:i/>
                <w:sz w:val="20"/>
                <w:szCs w:val="20"/>
              </w:rPr>
            </w:pPr>
            <w:r w:rsidRPr="00831F8C">
              <w:rPr>
                <w:rFonts w:ascii="Arial" w:hAnsi="Arial" w:cs="Arial"/>
                <w:i/>
                <w:sz w:val="20"/>
                <w:szCs w:val="20"/>
              </w:rPr>
              <w:t>Active management of equities</w:t>
            </w:r>
            <w:r w:rsidR="00AA7829">
              <w:rPr>
                <w:rFonts w:ascii="Arial" w:hAnsi="Arial" w:cs="Arial"/>
                <w:i/>
                <w:sz w:val="20"/>
                <w:szCs w:val="20"/>
              </w:rPr>
              <w:t>, property</w:t>
            </w:r>
            <w:r w:rsidRPr="00831F8C">
              <w:rPr>
                <w:rFonts w:ascii="Arial" w:hAnsi="Arial" w:cs="Arial"/>
                <w:i/>
                <w:sz w:val="20"/>
                <w:szCs w:val="20"/>
              </w:rPr>
              <w:t xml:space="preserve"> and bonds, all markets.</w:t>
            </w:r>
          </w:p>
        </w:tc>
      </w:tr>
      <w:tr w:rsidR="00831F8C" w:rsidRPr="00831F8C" w14:paraId="7BA7CDCF" w14:textId="77777777" w:rsidTr="00BE1431">
        <w:tc>
          <w:tcPr>
            <w:tcW w:w="2965" w:type="dxa"/>
          </w:tcPr>
          <w:p w14:paraId="0CDDC7EE" w14:textId="77777777" w:rsidR="00831F8C" w:rsidRPr="00831F8C" w:rsidRDefault="00831F8C" w:rsidP="00360331">
            <w:pPr>
              <w:rPr>
                <w:rFonts w:ascii="Arial" w:hAnsi="Arial" w:cs="Arial"/>
                <w:i/>
                <w:sz w:val="20"/>
                <w:szCs w:val="20"/>
              </w:rPr>
            </w:pPr>
            <w:r w:rsidRPr="00831F8C">
              <w:rPr>
                <w:rFonts w:ascii="Arial" w:hAnsi="Arial" w:cs="Arial"/>
                <w:i/>
                <w:sz w:val="20"/>
                <w:szCs w:val="20"/>
              </w:rPr>
              <w:t>Legal and General</w:t>
            </w:r>
          </w:p>
        </w:tc>
        <w:tc>
          <w:tcPr>
            <w:tcW w:w="5331" w:type="dxa"/>
          </w:tcPr>
          <w:p w14:paraId="334BBD3E" w14:textId="77AB9661" w:rsidR="00831F8C" w:rsidRPr="00831F8C" w:rsidRDefault="00831F8C" w:rsidP="00AA7829">
            <w:pPr>
              <w:rPr>
                <w:rFonts w:ascii="Arial" w:hAnsi="Arial" w:cs="Arial"/>
                <w:i/>
                <w:sz w:val="20"/>
                <w:szCs w:val="20"/>
              </w:rPr>
            </w:pPr>
            <w:r w:rsidRPr="00831F8C">
              <w:rPr>
                <w:rFonts w:ascii="Arial" w:hAnsi="Arial" w:cs="Arial"/>
                <w:i/>
                <w:sz w:val="20"/>
                <w:szCs w:val="20"/>
              </w:rPr>
              <w:t xml:space="preserve">Passive management </w:t>
            </w:r>
            <w:r w:rsidR="00AA7829">
              <w:rPr>
                <w:rFonts w:ascii="Arial" w:hAnsi="Arial" w:cs="Arial"/>
                <w:i/>
                <w:sz w:val="20"/>
                <w:szCs w:val="20"/>
              </w:rPr>
              <w:t>via</w:t>
            </w:r>
            <w:r w:rsidR="00AA7829" w:rsidRPr="00831F8C">
              <w:rPr>
                <w:rFonts w:ascii="Arial" w:hAnsi="Arial" w:cs="Arial"/>
                <w:i/>
                <w:sz w:val="20"/>
                <w:szCs w:val="20"/>
              </w:rPr>
              <w:t xml:space="preserve"> </w:t>
            </w:r>
            <w:r w:rsidRPr="00831F8C">
              <w:rPr>
                <w:rFonts w:ascii="Arial" w:hAnsi="Arial" w:cs="Arial"/>
                <w:i/>
                <w:sz w:val="20"/>
                <w:szCs w:val="20"/>
              </w:rPr>
              <w:t>tracker fund.</w:t>
            </w:r>
          </w:p>
        </w:tc>
      </w:tr>
    </w:tbl>
    <w:p w14:paraId="6F8F79AE" w14:textId="77777777" w:rsidR="00360331" w:rsidRPr="00831F8C" w:rsidRDefault="00360331" w:rsidP="00360331">
      <w:pPr>
        <w:ind w:left="720" w:hanging="720"/>
        <w:rPr>
          <w:rFonts w:ascii="Arial" w:hAnsi="Arial" w:cs="Arial"/>
          <w:i/>
          <w:sz w:val="20"/>
          <w:szCs w:val="20"/>
        </w:rPr>
      </w:pPr>
    </w:p>
    <w:p w14:paraId="6E3BEF3C" w14:textId="77777777" w:rsidR="00360331" w:rsidRPr="007A4810" w:rsidRDefault="00360331" w:rsidP="00360331">
      <w:pPr>
        <w:ind w:left="720" w:hanging="720"/>
        <w:rPr>
          <w:rFonts w:ascii="Arial" w:hAnsi="Arial" w:cs="Arial"/>
          <w:sz w:val="20"/>
          <w:szCs w:val="20"/>
        </w:rPr>
      </w:pPr>
      <w:r w:rsidRPr="00831F8C">
        <w:rPr>
          <w:rFonts w:ascii="Arial" w:hAnsi="Arial" w:cs="Arial"/>
          <w:i/>
          <w:sz w:val="20"/>
          <w:szCs w:val="20"/>
        </w:rPr>
        <w:tab/>
      </w:r>
      <w:r w:rsidRPr="007A4810">
        <w:rPr>
          <w:rFonts w:ascii="Arial" w:hAnsi="Arial" w:cs="Arial"/>
          <w:sz w:val="20"/>
          <w:szCs w:val="20"/>
        </w:rPr>
        <w:t>The Financial Conduct Authority (FCA) regulates the fund managers.</w:t>
      </w:r>
    </w:p>
    <w:p w14:paraId="0C55C7B6" w14:textId="77777777" w:rsidR="00360331" w:rsidRPr="007A4810" w:rsidRDefault="00360331" w:rsidP="00360331">
      <w:pPr>
        <w:ind w:left="720" w:hanging="720"/>
        <w:rPr>
          <w:rFonts w:ascii="Arial" w:hAnsi="Arial" w:cs="Arial"/>
          <w:sz w:val="20"/>
          <w:szCs w:val="20"/>
        </w:rPr>
      </w:pPr>
    </w:p>
    <w:p w14:paraId="51DB4EC8" w14:textId="65484349" w:rsidR="00C03EA3" w:rsidRPr="007A4810" w:rsidRDefault="00360331" w:rsidP="00831F8C">
      <w:pPr>
        <w:ind w:left="720" w:hanging="720"/>
        <w:jc w:val="both"/>
        <w:rPr>
          <w:rFonts w:ascii="Arial" w:hAnsi="Arial" w:cs="Arial"/>
          <w:sz w:val="20"/>
          <w:szCs w:val="20"/>
        </w:rPr>
      </w:pPr>
      <w:r w:rsidRPr="007A4810">
        <w:rPr>
          <w:rFonts w:ascii="Arial" w:hAnsi="Arial" w:cs="Arial"/>
          <w:sz w:val="20"/>
          <w:szCs w:val="20"/>
        </w:rPr>
        <w:tab/>
        <w:t>The</w:t>
      </w:r>
      <w:r w:rsidR="00A52E34" w:rsidRPr="007A4810">
        <w:rPr>
          <w:rFonts w:ascii="Arial" w:hAnsi="Arial" w:cs="Arial"/>
          <w:sz w:val="20"/>
          <w:szCs w:val="20"/>
        </w:rPr>
        <w:t>re are</w:t>
      </w:r>
      <w:r w:rsidRPr="007A4810">
        <w:rPr>
          <w:rFonts w:ascii="Arial" w:hAnsi="Arial" w:cs="Arial"/>
          <w:sz w:val="20"/>
          <w:szCs w:val="20"/>
        </w:rPr>
        <w:t xml:space="preserve"> a range of controls in place to monitor </w:t>
      </w:r>
      <w:r w:rsidR="00C03EA3" w:rsidRPr="007A4810">
        <w:rPr>
          <w:rFonts w:ascii="Arial" w:hAnsi="Arial" w:cs="Arial"/>
          <w:sz w:val="20"/>
          <w:szCs w:val="20"/>
        </w:rPr>
        <w:t>investment by the fund managers</w:t>
      </w:r>
      <w:r w:rsidR="00A52E34" w:rsidRPr="007A4810">
        <w:rPr>
          <w:rFonts w:ascii="Arial" w:hAnsi="Arial" w:cs="Arial"/>
          <w:sz w:val="20"/>
          <w:szCs w:val="20"/>
        </w:rPr>
        <w:t>, including</w:t>
      </w:r>
      <w:r w:rsidR="00C03EA3" w:rsidRPr="007A4810">
        <w:rPr>
          <w:rFonts w:ascii="Arial" w:hAnsi="Arial" w:cs="Arial"/>
          <w:sz w:val="20"/>
          <w:szCs w:val="20"/>
        </w:rPr>
        <w:t xml:space="preserve"> a total </w:t>
      </w:r>
      <w:r w:rsidR="001B4EC3" w:rsidRPr="007A4810">
        <w:rPr>
          <w:rFonts w:ascii="Arial" w:hAnsi="Arial" w:cs="Arial"/>
          <w:sz w:val="20"/>
          <w:szCs w:val="20"/>
        </w:rPr>
        <w:t>return</w:t>
      </w:r>
      <w:r w:rsidR="00C03EA3" w:rsidRPr="007A4810">
        <w:rPr>
          <w:rFonts w:ascii="Arial" w:hAnsi="Arial" w:cs="Arial"/>
          <w:sz w:val="20"/>
          <w:szCs w:val="20"/>
        </w:rPr>
        <w:t xml:space="preserve"> benchmark which is aligned to the overall asset allocation.  The </w:t>
      </w:r>
      <w:r w:rsidR="00A52E34" w:rsidRPr="007A4810">
        <w:rPr>
          <w:rFonts w:ascii="Arial" w:hAnsi="Arial" w:cs="Arial"/>
          <w:sz w:val="20"/>
          <w:szCs w:val="20"/>
        </w:rPr>
        <w:t>University</w:t>
      </w:r>
      <w:r w:rsidR="00C03EA3" w:rsidRPr="007A4810">
        <w:rPr>
          <w:rFonts w:ascii="Arial" w:hAnsi="Arial" w:cs="Arial"/>
          <w:sz w:val="20"/>
          <w:szCs w:val="20"/>
        </w:rPr>
        <w:t xml:space="preserve"> </w:t>
      </w:r>
      <w:r w:rsidR="00CE7A46" w:rsidRPr="007A4810">
        <w:rPr>
          <w:rFonts w:ascii="Arial" w:hAnsi="Arial" w:cs="Arial"/>
          <w:sz w:val="20"/>
          <w:szCs w:val="20"/>
        </w:rPr>
        <w:t xml:space="preserve">has also set each fund manager </w:t>
      </w:r>
      <w:r w:rsidR="00C03EA3" w:rsidRPr="007A4810">
        <w:rPr>
          <w:rFonts w:ascii="Arial" w:hAnsi="Arial" w:cs="Arial"/>
          <w:sz w:val="20"/>
          <w:szCs w:val="20"/>
        </w:rPr>
        <w:t>performance objectives in relation to published indices.</w:t>
      </w:r>
    </w:p>
    <w:p w14:paraId="26DEEE26" w14:textId="77777777" w:rsidR="00AA51D7" w:rsidRPr="00831F8C" w:rsidRDefault="00AA51D7" w:rsidP="00360331">
      <w:pPr>
        <w:ind w:left="720" w:hanging="720"/>
        <w:rPr>
          <w:rFonts w:ascii="Arial" w:hAnsi="Arial" w:cs="Arial"/>
          <w:i/>
          <w:sz w:val="20"/>
          <w:szCs w:val="20"/>
        </w:rPr>
      </w:pPr>
    </w:p>
    <w:p w14:paraId="5162E0F9" w14:textId="77777777" w:rsidR="00C03EA3" w:rsidRPr="007A4810" w:rsidRDefault="00DE0F96" w:rsidP="00360331">
      <w:pPr>
        <w:ind w:left="720" w:hanging="720"/>
        <w:rPr>
          <w:rFonts w:ascii="Arial" w:hAnsi="Arial" w:cs="Arial"/>
          <w:sz w:val="20"/>
          <w:szCs w:val="20"/>
        </w:rPr>
      </w:pPr>
      <w:r w:rsidRPr="007A4810">
        <w:rPr>
          <w:rFonts w:ascii="Arial" w:hAnsi="Arial" w:cs="Arial"/>
          <w:b/>
          <w:sz w:val="20"/>
          <w:szCs w:val="20"/>
        </w:rPr>
        <w:t>3.</w:t>
      </w:r>
      <w:r w:rsidR="00831F8C" w:rsidRPr="007A4810">
        <w:rPr>
          <w:rFonts w:ascii="Arial" w:hAnsi="Arial" w:cs="Arial"/>
          <w:b/>
          <w:sz w:val="20"/>
          <w:szCs w:val="20"/>
        </w:rPr>
        <w:t>3</w:t>
      </w:r>
      <w:r w:rsidR="00C03EA3" w:rsidRPr="007A4810">
        <w:rPr>
          <w:rFonts w:ascii="Arial" w:hAnsi="Arial" w:cs="Arial"/>
          <w:b/>
          <w:sz w:val="20"/>
          <w:szCs w:val="20"/>
        </w:rPr>
        <w:tab/>
        <w:t>Diversification and Risk Management</w:t>
      </w:r>
    </w:p>
    <w:p w14:paraId="595DA100" w14:textId="77777777" w:rsidR="00C03EA3" w:rsidRPr="00831F8C" w:rsidRDefault="00C03EA3" w:rsidP="00360331">
      <w:pPr>
        <w:ind w:left="720" w:hanging="720"/>
        <w:rPr>
          <w:rFonts w:ascii="Arial" w:hAnsi="Arial" w:cs="Arial"/>
          <w:i/>
          <w:sz w:val="20"/>
          <w:szCs w:val="20"/>
        </w:rPr>
      </w:pPr>
    </w:p>
    <w:p w14:paraId="77F65018" w14:textId="15C53358" w:rsidR="00C03EA3" w:rsidRPr="007A4810" w:rsidRDefault="00C03EA3" w:rsidP="008817A1">
      <w:pPr>
        <w:ind w:left="720" w:hanging="720"/>
        <w:jc w:val="both"/>
        <w:rPr>
          <w:rFonts w:ascii="Arial" w:hAnsi="Arial" w:cs="Arial"/>
          <w:sz w:val="20"/>
          <w:szCs w:val="20"/>
        </w:rPr>
      </w:pPr>
      <w:r w:rsidRPr="00831F8C">
        <w:rPr>
          <w:rFonts w:ascii="Arial" w:hAnsi="Arial" w:cs="Arial"/>
          <w:i/>
          <w:sz w:val="20"/>
          <w:szCs w:val="20"/>
        </w:rPr>
        <w:tab/>
      </w:r>
      <w:r w:rsidRPr="007A4810">
        <w:rPr>
          <w:rFonts w:ascii="Arial" w:hAnsi="Arial" w:cs="Arial"/>
          <w:sz w:val="20"/>
          <w:szCs w:val="20"/>
        </w:rPr>
        <w:t xml:space="preserve">The </w:t>
      </w:r>
      <w:r w:rsidR="00A52E34" w:rsidRPr="007A4810">
        <w:rPr>
          <w:rFonts w:ascii="Arial" w:hAnsi="Arial" w:cs="Arial"/>
          <w:sz w:val="20"/>
          <w:szCs w:val="20"/>
        </w:rPr>
        <w:t>University</w:t>
      </w:r>
      <w:r w:rsidRPr="007A4810">
        <w:rPr>
          <w:rFonts w:ascii="Arial" w:hAnsi="Arial" w:cs="Arial"/>
          <w:sz w:val="20"/>
          <w:szCs w:val="20"/>
        </w:rPr>
        <w:t xml:space="preserve"> recognises that risk is inherent in investment activity and seeks to manage the level of risk that it take</w:t>
      </w:r>
      <w:r w:rsidR="00DE0F96" w:rsidRPr="007A4810">
        <w:rPr>
          <w:rFonts w:ascii="Arial" w:hAnsi="Arial" w:cs="Arial"/>
          <w:sz w:val="20"/>
          <w:szCs w:val="20"/>
        </w:rPr>
        <w:t>s</w:t>
      </w:r>
      <w:r w:rsidRPr="007A4810">
        <w:rPr>
          <w:rFonts w:ascii="Arial" w:hAnsi="Arial" w:cs="Arial"/>
          <w:sz w:val="20"/>
          <w:szCs w:val="20"/>
        </w:rPr>
        <w:t xml:space="preserve"> in an appropriate manner.  The </w:t>
      </w:r>
      <w:r w:rsidR="00A52E34" w:rsidRPr="007A4810">
        <w:rPr>
          <w:rFonts w:ascii="Arial" w:hAnsi="Arial" w:cs="Arial"/>
          <w:sz w:val="20"/>
          <w:szCs w:val="20"/>
        </w:rPr>
        <w:t>University</w:t>
      </w:r>
      <w:r w:rsidRPr="007A4810">
        <w:rPr>
          <w:rFonts w:ascii="Arial" w:hAnsi="Arial" w:cs="Arial"/>
          <w:sz w:val="20"/>
          <w:szCs w:val="20"/>
        </w:rPr>
        <w:t xml:space="preserve"> manages the risk by:</w:t>
      </w:r>
    </w:p>
    <w:p w14:paraId="3F6B936B" w14:textId="77777777" w:rsidR="00CE7A46" w:rsidRPr="007A4810" w:rsidRDefault="00CE7A46" w:rsidP="00C03EA3">
      <w:pPr>
        <w:pStyle w:val="ListParagraph"/>
        <w:numPr>
          <w:ilvl w:val="0"/>
          <w:numId w:val="3"/>
        </w:numPr>
        <w:ind w:left="1440"/>
        <w:rPr>
          <w:rFonts w:ascii="Arial" w:hAnsi="Arial" w:cs="Arial"/>
          <w:sz w:val="20"/>
          <w:szCs w:val="20"/>
        </w:rPr>
      </w:pPr>
      <w:r w:rsidRPr="007A4810">
        <w:rPr>
          <w:rFonts w:ascii="Arial" w:hAnsi="Arial" w:cs="Arial"/>
          <w:sz w:val="20"/>
          <w:szCs w:val="20"/>
        </w:rPr>
        <w:t>Investing in pooled funds;</w:t>
      </w:r>
    </w:p>
    <w:p w14:paraId="1D033C86" w14:textId="494F62E0" w:rsidR="00C03EA3" w:rsidRPr="007A4810" w:rsidRDefault="00AA7829" w:rsidP="00C03EA3">
      <w:pPr>
        <w:pStyle w:val="ListParagraph"/>
        <w:numPr>
          <w:ilvl w:val="0"/>
          <w:numId w:val="3"/>
        </w:numPr>
        <w:ind w:left="1440"/>
        <w:rPr>
          <w:rFonts w:ascii="Arial" w:hAnsi="Arial" w:cs="Arial"/>
          <w:sz w:val="20"/>
          <w:szCs w:val="20"/>
        </w:rPr>
      </w:pPr>
      <w:r w:rsidRPr="007A4810">
        <w:rPr>
          <w:rFonts w:ascii="Arial" w:hAnsi="Arial" w:cs="Arial"/>
          <w:sz w:val="20"/>
          <w:szCs w:val="20"/>
        </w:rPr>
        <w:t>R</w:t>
      </w:r>
      <w:r w:rsidR="00C03EA3" w:rsidRPr="007A4810">
        <w:rPr>
          <w:rFonts w:ascii="Arial" w:hAnsi="Arial" w:cs="Arial"/>
          <w:sz w:val="20"/>
          <w:szCs w:val="20"/>
        </w:rPr>
        <w:t xml:space="preserve">estricting investment to asset classes generally </w:t>
      </w:r>
      <w:proofErr w:type="spellStart"/>
      <w:r w:rsidR="00C03EA3" w:rsidRPr="007A4810">
        <w:rPr>
          <w:rFonts w:ascii="Arial" w:hAnsi="Arial" w:cs="Arial"/>
          <w:sz w:val="20"/>
          <w:szCs w:val="20"/>
        </w:rPr>
        <w:t>recognised</w:t>
      </w:r>
      <w:proofErr w:type="spellEnd"/>
      <w:r w:rsidR="00C03EA3" w:rsidRPr="007A4810">
        <w:rPr>
          <w:rFonts w:ascii="Arial" w:hAnsi="Arial" w:cs="Arial"/>
          <w:sz w:val="20"/>
          <w:szCs w:val="20"/>
        </w:rPr>
        <w:t xml:space="preserve"> as appropriate for UK charities;</w:t>
      </w:r>
    </w:p>
    <w:p w14:paraId="2035B38D" w14:textId="05911627" w:rsidR="00C03EA3" w:rsidRPr="007A4810" w:rsidRDefault="00AA7829" w:rsidP="008817A1">
      <w:pPr>
        <w:pStyle w:val="ListParagraph"/>
        <w:numPr>
          <w:ilvl w:val="0"/>
          <w:numId w:val="3"/>
        </w:numPr>
        <w:ind w:left="1440"/>
        <w:jc w:val="both"/>
        <w:rPr>
          <w:rFonts w:ascii="Arial" w:hAnsi="Arial" w:cs="Arial"/>
          <w:sz w:val="20"/>
          <w:szCs w:val="20"/>
        </w:rPr>
      </w:pPr>
      <w:proofErr w:type="spellStart"/>
      <w:r w:rsidRPr="007A4810">
        <w:rPr>
          <w:rFonts w:ascii="Arial" w:hAnsi="Arial" w:cs="Arial"/>
          <w:sz w:val="20"/>
          <w:szCs w:val="20"/>
        </w:rPr>
        <w:t>A</w:t>
      </w:r>
      <w:r w:rsidR="00C03EA3" w:rsidRPr="007A4810">
        <w:rPr>
          <w:rFonts w:ascii="Arial" w:hAnsi="Arial" w:cs="Arial"/>
          <w:sz w:val="20"/>
          <w:szCs w:val="20"/>
        </w:rPr>
        <w:t>nalysing</w:t>
      </w:r>
      <w:proofErr w:type="spellEnd"/>
      <w:r w:rsidR="00C03EA3" w:rsidRPr="007A4810">
        <w:rPr>
          <w:rFonts w:ascii="Arial" w:hAnsi="Arial" w:cs="Arial"/>
          <w:sz w:val="20"/>
          <w:szCs w:val="20"/>
        </w:rPr>
        <w:t xml:space="preserve"> the v</w:t>
      </w:r>
      <w:r w:rsidR="00DE0F96" w:rsidRPr="007A4810">
        <w:rPr>
          <w:rFonts w:ascii="Arial" w:hAnsi="Arial" w:cs="Arial"/>
          <w:sz w:val="20"/>
          <w:szCs w:val="20"/>
        </w:rPr>
        <w:t>olati</w:t>
      </w:r>
      <w:r w:rsidR="00C03EA3" w:rsidRPr="007A4810">
        <w:rPr>
          <w:rFonts w:ascii="Arial" w:hAnsi="Arial" w:cs="Arial"/>
          <w:sz w:val="20"/>
          <w:szCs w:val="20"/>
        </w:rPr>
        <w:t>lity and absolute return risks represented by those asset classes in collabora</w:t>
      </w:r>
      <w:r w:rsidR="00CE7A46" w:rsidRPr="007A4810">
        <w:rPr>
          <w:rFonts w:ascii="Arial" w:hAnsi="Arial" w:cs="Arial"/>
          <w:sz w:val="20"/>
          <w:szCs w:val="20"/>
        </w:rPr>
        <w:t>tion with the</w:t>
      </w:r>
      <w:r w:rsidR="00C03EA3" w:rsidRPr="007A4810">
        <w:rPr>
          <w:rFonts w:ascii="Arial" w:hAnsi="Arial" w:cs="Arial"/>
          <w:sz w:val="20"/>
          <w:szCs w:val="20"/>
        </w:rPr>
        <w:t xml:space="preserve"> investment managers and ensuring that they remain consistent with the risk and return profiles anticipated;</w:t>
      </w:r>
    </w:p>
    <w:p w14:paraId="4735FE04" w14:textId="2A0B836D" w:rsidR="00C03EA3" w:rsidRPr="007A4810" w:rsidRDefault="00AA7829" w:rsidP="00C03EA3">
      <w:pPr>
        <w:pStyle w:val="ListParagraph"/>
        <w:numPr>
          <w:ilvl w:val="0"/>
          <w:numId w:val="3"/>
        </w:numPr>
        <w:ind w:firstLine="360"/>
        <w:rPr>
          <w:rFonts w:ascii="Arial" w:hAnsi="Arial" w:cs="Arial"/>
          <w:sz w:val="20"/>
          <w:szCs w:val="20"/>
        </w:rPr>
      </w:pPr>
      <w:r w:rsidRPr="007A4810">
        <w:rPr>
          <w:rFonts w:ascii="Arial" w:hAnsi="Arial" w:cs="Arial"/>
          <w:sz w:val="20"/>
          <w:szCs w:val="20"/>
        </w:rPr>
        <w:t xml:space="preserve">Developing </w:t>
      </w:r>
      <w:r w:rsidR="00C03EA3" w:rsidRPr="007A4810">
        <w:rPr>
          <w:rFonts w:ascii="Arial" w:hAnsi="Arial" w:cs="Arial"/>
          <w:sz w:val="20"/>
          <w:szCs w:val="20"/>
        </w:rPr>
        <w:t>a diversified asset allocation.</w:t>
      </w:r>
    </w:p>
    <w:p w14:paraId="7D5EB877" w14:textId="77777777" w:rsidR="00DE0F96" w:rsidRPr="007A4810" w:rsidRDefault="00DE0F96" w:rsidP="00DE0F96">
      <w:pPr>
        <w:pStyle w:val="ListParagraph"/>
        <w:spacing w:after="0" w:line="240" w:lineRule="auto"/>
        <w:ind w:hanging="720"/>
        <w:jc w:val="both"/>
        <w:rPr>
          <w:rFonts w:ascii="Arial" w:hAnsi="Arial" w:cs="Arial"/>
          <w:sz w:val="20"/>
          <w:szCs w:val="20"/>
          <w:lang w:val="en-GB"/>
        </w:rPr>
      </w:pPr>
    </w:p>
    <w:p w14:paraId="35D7A557" w14:textId="07C91B81" w:rsidR="00DE0F96" w:rsidRPr="007A4810" w:rsidRDefault="00DE0F96" w:rsidP="00DE0F96">
      <w:pPr>
        <w:pStyle w:val="ListParagraph"/>
        <w:spacing w:after="0" w:line="240" w:lineRule="auto"/>
        <w:ind w:hanging="720"/>
        <w:jc w:val="both"/>
        <w:rPr>
          <w:rFonts w:ascii="Arial" w:hAnsi="Arial" w:cs="Arial"/>
          <w:sz w:val="20"/>
          <w:szCs w:val="20"/>
          <w:lang w:val="en-GB"/>
        </w:rPr>
      </w:pPr>
      <w:r w:rsidRPr="007A4810">
        <w:rPr>
          <w:rFonts w:ascii="Arial" w:hAnsi="Arial" w:cs="Arial"/>
          <w:sz w:val="20"/>
          <w:szCs w:val="20"/>
          <w:lang w:val="en-GB"/>
        </w:rPr>
        <w:lastRenderedPageBreak/>
        <w:tab/>
        <w:t xml:space="preserve">These considerations drive decisions over asset allocation.  The asset allocation </w:t>
      </w:r>
      <w:r w:rsidR="00A52E34" w:rsidRPr="007A4810">
        <w:rPr>
          <w:rFonts w:ascii="Arial" w:hAnsi="Arial" w:cs="Arial"/>
          <w:sz w:val="20"/>
          <w:szCs w:val="20"/>
          <w:lang w:val="en-GB"/>
        </w:rPr>
        <w:t xml:space="preserve">is reviewed </w:t>
      </w:r>
      <w:r w:rsidRPr="007A4810">
        <w:rPr>
          <w:rFonts w:ascii="Arial" w:hAnsi="Arial" w:cs="Arial"/>
          <w:sz w:val="20"/>
          <w:szCs w:val="20"/>
          <w:lang w:val="en-GB"/>
        </w:rPr>
        <w:t xml:space="preserve">on an annual basis at a meeting, which is attended by the fund managers.  In determining its asset allocation, </w:t>
      </w:r>
      <w:r w:rsidR="00A52E34" w:rsidRPr="007A4810">
        <w:rPr>
          <w:rFonts w:ascii="Arial" w:hAnsi="Arial" w:cs="Arial"/>
          <w:sz w:val="20"/>
          <w:szCs w:val="20"/>
          <w:lang w:val="en-GB"/>
        </w:rPr>
        <w:t>consideration is given to</w:t>
      </w:r>
      <w:r w:rsidRPr="007A4810">
        <w:rPr>
          <w:rFonts w:ascii="Arial" w:hAnsi="Arial" w:cs="Arial"/>
          <w:sz w:val="20"/>
          <w:szCs w:val="20"/>
          <w:lang w:val="en-GB"/>
        </w:rPr>
        <w:t>:</w:t>
      </w:r>
    </w:p>
    <w:p w14:paraId="2CEEDB0A" w14:textId="77777777" w:rsidR="00DE0F96" w:rsidRPr="007A4810" w:rsidRDefault="00DE0F96" w:rsidP="00DE0F96">
      <w:pPr>
        <w:pStyle w:val="ListParagraph"/>
        <w:spacing w:after="0" w:line="240" w:lineRule="auto"/>
        <w:ind w:left="0"/>
        <w:jc w:val="both"/>
        <w:rPr>
          <w:rFonts w:ascii="Arial" w:hAnsi="Arial" w:cs="Arial"/>
          <w:sz w:val="20"/>
          <w:szCs w:val="20"/>
          <w:lang w:val="en-GB"/>
        </w:rPr>
      </w:pPr>
    </w:p>
    <w:p w14:paraId="6255DFB4" w14:textId="77777777" w:rsidR="00DE0F96" w:rsidRPr="007A4810" w:rsidRDefault="00DE0F96" w:rsidP="00DE0F96">
      <w:pPr>
        <w:pStyle w:val="ListParagraph"/>
        <w:numPr>
          <w:ilvl w:val="0"/>
          <w:numId w:val="2"/>
        </w:numPr>
        <w:spacing w:after="0" w:line="240" w:lineRule="auto"/>
        <w:jc w:val="both"/>
        <w:rPr>
          <w:rFonts w:ascii="Arial" w:hAnsi="Arial" w:cs="Arial"/>
          <w:sz w:val="20"/>
          <w:szCs w:val="20"/>
          <w:lang w:val="en-GB"/>
        </w:rPr>
      </w:pPr>
      <w:r w:rsidRPr="007A4810">
        <w:rPr>
          <w:rFonts w:ascii="Arial" w:hAnsi="Arial" w:cs="Arial"/>
          <w:sz w:val="20"/>
          <w:szCs w:val="20"/>
          <w:lang w:val="en-GB"/>
        </w:rPr>
        <w:t>A full range of asset classes;</w:t>
      </w:r>
    </w:p>
    <w:p w14:paraId="1373EAC3" w14:textId="77777777" w:rsidR="00DE0F96" w:rsidRPr="007A4810" w:rsidRDefault="00DE0F96" w:rsidP="00DE0F96">
      <w:pPr>
        <w:pStyle w:val="ListParagraph"/>
        <w:numPr>
          <w:ilvl w:val="0"/>
          <w:numId w:val="2"/>
        </w:numPr>
        <w:spacing w:after="0" w:line="240" w:lineRule="auto"/>
        <w:jc w:val="both"/>
        <w:rPr>
          <w:rFonts w:ascii="Arial" w:hAnsi="Arial" w:cs="Arial"/>
          <w:sz w:val="20"/>
          <w:szCs w:val="20"/>
          <w:lang w:val="en-GB"/>
        </w:rPr>
      </w:pPr>
      <w:r w:rsidRPr="007A4810">
        <w:rPr>
          <w:rFonts w:ascii="Arial" w:hAnsi="Arial" w:cs="Arial"/>
          <w:sz w:val="20"/>
          <w:szCs w:val="20"/>
          <w:lang w:val="en-GB"/>
        </w:rPr>
        <w:t>The risks and rewards of a range of alternative asset allocation strategies;</w:t>
      </w:r>
    </w:p>
    <w:p w14:paraId="610203AB" w14:textId="77777777" w:rsidR="00DE0F96" w:rsidRPr="007A4810" w:rsidRDefault="00DE0F96" w:rsidP="00DE0F96">
      <w:pPr>
        <w:pStyle w:val="ListParagraph"/>
        <w:numPr>
          <w:ilvl w:val="0"/>
          <w:numId w:val="2"/>
        </w:numPr>
        <w:spacing w:after="0" w:line="240" w:lineRule="auto"/>
        <w:jc w:val="both"/>
        <w:rPr>
          <w:rFonts w:ascii="Arial" w:hAnsi="Arial" w:cs="Arial"/>
          <w:sz w:val="20"/>
          <w:szCs w:val="20"/>
          <w:lang w:val="en-GB"/>
        </w:rPr>
      </w:pPr>
      <w:r w:rsidRPr="007A4810">
        <w:rPr>
          <w:rFonts w:ascii="Arial" w:hAnsi="Arial" w:cs="Arial"/>
          <w:sz w:val="20"/>
          <w:szCs w:val="20"/>
          <w:lang w:val="en-GB"/>
        </w:rPr>
        <w:t>The suitability of each asset class;</w:t>
      </w:r>
    </w:p>
    <w:p w14:paraId="2553A63E" w14:textId="77777777" w:rsidR="00DE0F96" w:rsidRPr="007A4810" w:rsidRDefault="00DE0F96" w:rsidP="00DE0F96">
      <w:pPr>
        <w:pStyle w:val="ListParagraph"/>
        <w:numPr>
          <w:ilvl w:val="0"/>
          <w:numId w:val="2"/>
        </w:numPr>
        <w:spacing w:after="0" w:line="240" w:lineRule="auto"/>
        <w:jc w:val="both"/>
        <w:rPr>
          <w:rFonts w:ascii="Arial" w:hAnsi="Arial" w:cs="Arial"/>
          <w:sz w:val="20"/>
          <w:szCs w:val="20"/>
          <w:lang w:val="en-GB"/>
        </w:rPr>
      </w:pPr>
      <w:r w:rsidRPr="007A4810">
        <w:rPr>
          <w:rFonts w:ascii="Arial" w:hAnsi="Arial" w:cs="Arial"/>
          <w:sz w:val="20"/>
          <w:szCs w:val="20"/>
          <w:lang w:val="en-GB"/>
        </w:rPr>
        <w:t>The need for appropriate diversification.</w:t>
      </w:r>
    </w:p>
    <w:p w14:paraId="151D5A50" w14:textId="77777777" w:rsidR="00DE0F96" w:rsidRPr="007A4810" w:rsidRDefault="00DE0F96" w:rsidP="00DE0F96">
      <w:pPr>
        <w:rPr>
          <w:rFonts w:ascii="Arial" w:hAnsi="Arial" w:cs="Arial"/>
          <w:sz w:val="20"/>
          <w:szCs w:val="20"/>
        </w:rPr>
      </w:pPr>
    </w:p>
    <w:p w14:paraId="221E74F9" w14:textId="4FBDE5BB" w:rsidR="00DE0F96" w:rsidRPr="007A4810" w:rsidRDefault="00897C34" w:rsidP="00DE0F96">
      <w:pPr>
        <w:ind w:left="720"/>
        <w:jc w:val="both"/>
        <w:rPr>
          <w:rFonts w:ascii="Arial" w:hAnsi="Arial" w:cs="Arial"/>
          <w:sz w:val="20"/>
          <w:szCs w:val="20"/>
        </w:rPr>
      </w:pPr>
      <w:r>
        <w:rPr>
          <w:rFonts w:ascii="Arial" w:hAnsi="Arial" w:cs="Arial"/>
          <w:sz w:val="20"/>
          <w:szCs w:val="20"/>
        </w:rPr>
        <w:t xml:space="preserve">The </w:t>
      </w:r>
      <w:r w:rsidR="00DE0F96" w:rsidRPr="007A4810">
        <w:rPr>
          <w:rFonts w:ascii="Arial" w:hAnsi="Arial" w:cs="Arial"/>
          <w:sz w:val="20"/>
          <w:szCs w:val="20"/>
        </w:rPr>
        <w:t>investments are diversified across various asset classes in order to increase the overall expected returns whil</w:t>
      </w:r>
      <w:r w:rsidR="00A52E34" w:rsidRPr="007A4810">
        <w:rPr>
          <w:rFonts w:ascii="Arial" w:hAnsi="Arial" w:cs="Arial"/>
          <w:sz w:val="20"/>
          <w:szCs w:val="20"/>
        </w:rPr>
        <w:t>st</w:t>
      </w:r>
      <w:r w:rsidR="00DE0F96" w:rsidRPr="007A4810">
        <w:rPr>
          <w:rFonts w:ascii="Arial" w:hAnsi="Arial" w:cs="Arial"/>
          <w:sz w:val="20"/>
          <w:szCs w:val="20"/>
        </w:rPr>
        <w:t xml:space="preserve"> reducing the overall level of </w:t>
      </w:r>
      <w:r w:rsidR="00AA7829" w:rsidRPr="007A4810">
        <w:rPr>
          <w:rFonts w:ascii="Arial" w:hAnsi="Arial" w:cs="Arial"/>
          <w:sz w:val="20"/>
          <w:szCs w:val="20"/>
        </w:rPr>
        <w:t xml:space="preserve">projected </w:t>
      </w:r>
      <w:r w:rsidR="00DE0F96" w:rsidRPr="007A4810">
        <w:rPr>
          <w:rFonts w:ascii="Arial" w:hAnsi="Arial" w:cs="Arial"/>
          <w:sz w:val="20"/>
          <w:szCs w:val="20"/>
        </w:rPr>
        <w:t>risk.  A mixture of passive and active mandates is also used to capture the returns required to meet the objectives.</w:t>
      </w:r>
    </w:p>
    <w:p w14:paraId="057A39FF" w14:textId="77777777" w:rsidR="00831F8C" w:rsidRPr="007A4810" w:rsidRDefault="00831F8C" w:rsidP="00FC2F40">
      <w:pPr>
        <w:ind w:left="720" w:hanging="720"/>
        <w:rPr>
          <w:rFonts w:ascii="Arial" w:hAnsi="Arial" w:cs="Arial"/>
          <w:sz w:val="20"/>
          <w:szCs w:val="20"/>
        </w:rPr>
      </w:pPr>
    </w:p>
    <w:p w14:paraId="3D0F8E54" w14:textId="77777777" w:rsidR="00AA51D7" w:rsidRPr="007A4810" w:rsidRDefault="00AA51D7" w:rsidP="00FC2F40">
      <w:pPr>
        <w:ind w:left="720" w:hanging="720"/>
        <w:rPr>
          <w:rFonts w:ascii="Arial" w:hAnsi="Arial" w:cs="Arial"/>
          <w:sz w:val="20"/>
          <w:szCs w:val="20"/>
        </w:rPr>
      </w:pPr>
      <w:r w:rsidRPr="007A4810">
        <w:rPr>
          <w:rFonts w:ascii="Arial" w:hAnsi="Arial" w:cs="Arial"/>
          <w:b/>
          <w:sz w:val="20"/>
          <w:szCs w:val="20"/>
        </w:rPr>
        <w:t>3.4</w:t>
      </w:r>
      <w:r w:rsidRPr="007A4810">
        <w:rPr>
          <w:rFonts w:ascii="Arial" w:hAnsi="Arial" w:cs="Arial"/>
          <w:sz w:val="20"/>
          <w:szCs w:val="20"/>
        </w:rPr>
        <w:tab/>
      </w:r>
      <w:r w:rsidRPr="007A4810">
        <w:rPr>
          <w:rFonts w:ascii="Arial" w:hAnsi="Arial" w:cs="Arial"/>
          <w:b/>
          <w:sz w:val="20"/>
          <w:szCs w:val="20"/>
        </w:rPr>
        <w:t>Future Donations</w:t>
      </w:r>
    </w:p>
    <w:p w14:paraId="18D40A2E" w14:textId="77777777" w:rsidR="00AA51D7" w:rsidRPr="007A4810" w:rsidRDefault="00AA51D7" w:rsidP="00FC2F40">
      <w:pPr>
        <w:ind w:left="720" w:hanging="720"/>
        <w:rPr>
          <w:rFonts w:ascii="Arial" w:hAnsi="Arial" w:cs="Arial"/>
          <w:sz w:val="20"/>
          <w:szCs w:val="20"/>
        </w:rPr>
      </w:pPr>
    </w:p>
    <w:p w14:paraId="19973C23" w14:textId="78F475DD" w:rsidR="00AA51D7" w:rsidRPr="007A4810" w:rsidRDefault="00AA51D7" w:rsidP="00AA51D7">
      <w:pPr>
        <w:ind w:left="720" w:hanging="720"/>
        <w:jc w:val="both"/>
        <w:rPr>
          <w:rFonts w:ascii="Arial" w:hAnsi="Arial" w:cs="Arial"/>
          <w:sz w:val="20"/>
          <w:szCs w:val="20"/>
        </w:rPr>
      </w:pPr>
      <w:r w:rsidRPr="007A4810">
        <w:rPr>
          <w:rFonts w:ascii="Arial" w:hAnsi="Arial" w:cs="Arial"/>
          <w:sz w:val="20"/>
          <w:szCs w:val="20"/>
        </w:rPr>
        <w:tab/>
      </w:r>
      <w:r w:rsidR="00C10326" w:rsidRPr="007A4810">
        <w:rPr>
          <w:rFonts w:ascii="Arial" w:hAnsi="Arial" w:cs="Arial"/>
          <w:sz w:val="20"/>
          <w:szCs w:val="20"/>
        </w:rPr>
        <w:t>F</w:t>
      </w:r>
      <w:r w:rsidRPr="007A4810">
        <w:rPr>
          <w:rFonts w:ascii="Arial" w:hAnsi="Arial" w:cs="Arial"/>
          <w:sz w:val="20"/>
          <w:szCs w:val="20"/>
        </w:rPr>
        <w:t>uture gifts that are given to the University to produce income will be invested in accordance with this Responsible Investment Policy</w:t>
      </w:r>
      <w:r w:rsidR="00C10326" w:rsidRPr="007A4810">
        <w:rPr>
          <w:rFonts w:ascii="Arial" w:hAnsi="Arial" w:cs="Arial"/>
          <w:sz w:val="20"/>
          <w:szCs w:val="20"/>
        </w:rPr>
        <w:t>;</w:t>
      </w:r>
      <w:r w:rsidRPr="007A4810">
        <w:rPr>
          <w:rFonts w:ascii="Arial" w:hAnsi="Arial" w:cs="Arial"/>
          <w:sz w:val="20"/>
          <w:szCs w:val="20"/>
        </w:rPr>
        <w:t xml:space="preserve"> and within the asset allocation strategy prevalent at the time, unless the donor makes specific requests around such investment.  The donor’s wishes will be respected if practicable.</w:t>
      </w:r>
    </w:p>
    <w:p w14:paraId="59EAD1BF" w14:textId="77777777" w:rsidR="00831F8C" w:rsidRPr="007A4810" w:rsidRDefault="00831F8C" w:rsidP="00FC2F40">
      <w:pPr>
        <w:ind w:left="720" w:hanging="720"/>
        <w:rPr>
          <w:rFonts w:ascii="Arial" w:hAnsi="Arial" w:cs="Arial"/>
          <w:sz w:val="20"/>
          <w:szCs w:val="20"/>
        </w:rPr>
      </w:pPr>
    </w:p>
    <w:p w14:paraId="207D6DB9" w14:textId="77777777" w:rsidR="00AA51D7" w:rsidRPr="007A4810" w:rsidRDefault="00AA51D7" w:rsidP="00FC2F40">
      <w:pPr>
        <w:ind w:left="720" w:hanging="720"/>
        <w:rPr>
          <w:rFonts w:ascii="Arial" w:hAnsi="Arial" w:cs="Arial"/>
          <w:sz w:val="20"/>
          <w:szCs w:val="20"/>
        </w:rPr>
      </w:pPr>
    </w:p>
    <w:p w14:paraId="06E703D0" w14:textId="77777777" w:rsidR="00FA1406" w:rsidRPr="007A4810" w:rsidRDefault="00DE0F96" w:rsidP="00FC2F40">
      <w:pPr>
        <w:ind w:left="720" w:hanging="720"/>
        <w:rPr>
          <w:rFonts w:ascii="Arial" w:hAnsi="Arial" w:cs="Arial"/>
          <w:b/>
          <w:sz w:val="20"/>
          <w:szCs w:val="20"/>
        </w:rPr>
      </w:pPr>
      <w:r w:rsidRPr="007A4810">
        <w:rPr>
          <w:rFonts w:ascii="Arial" w:hAnsi="Arial" w:cs="Arial"/>
          <w:b/>
          <w:sz w:val="20"/>
          <w:szCs w:val="20"/>
        </w:rPr>
        <w:t>4</w:t>
      </w:r>
      <w:r w:rsidR="001B4EC3" w:rsidRPr="007A4810">
        <w:rPr>
          <w:rFonts w:ascii="Arial" w:hAnsi="Arial" w:cs="Arial"/>
          <w:b/>
          <w:sz w:val="20"/>
          <w:szCs w:val="20"/>
        </w:rPr>
        <w:t>.</w:t>
      </w:r>
      <w:r w:rsidR="001B4EC3" w:rsidRPr="007A4810">
        <w:rPr>
          <w:rFonts w:ascii="Arial" w:hAnsi="Arial" w:cs="Arial"/>
          <w:b/>
          <w:sz w:val="20"/>
          <w:szCs w:val="20"/>
        </w:rPr>
        <w:tab/>
      </w:r>
      <w:r w:rsidR="001B4EC3" w:rsidRPr="007A4810">
        <w:rPr>
          <w:rFonts w:ascii="Arial" w:hAnsi="Arial" w:cs="Arial"/>
          <w:b/>
          <w:sz w:val="20"/>
          <w:szCs w:val="20"/>
          <w:u w:val="single"/>
        </w:rPr>
        <w:t>Statement of Responsible Investment</w:t>
      </w:r>
    </w:p>
    <w:p w14:paraId="6789FF7A" w14:textId="77777777" w:rsidR="001B4EC3" w:rsidRPr="007A4810" w:rsidRDefault="001B4EC3" w:rsidP="001B4EC3">
      <w:pPr>
        <w:rPr>
          <w:rFonts w:ascii="Arial" w:hAnsi="Arial" w:cs="Arial"/>
          <w:b/>
          <w:sz w:val="20"/>
          <w:szCs w:val="20"/>
        </w:rPr>
      </w:pPr>
    </w:p>
    <w:p w14:paraId="341ADF03" w14:textId="77777777" w:rsidR="001B4EC3" w:rsidRPr="007A4810" w:rsidRDefault="00DE0F96" w:rsidP="001B4EC3">
      <w:pPr>
        <w:rPr>
          <w:rFonts w:ascii="Arial" w:hAnsi="Arial" w:cs="Arial"/>
          <w:b/>
          <w:sz w:val="20"/>
          <w:szCs w:val="20"/>
        </w:rPr>
      </w:pPr>
      <w:r w:rsidRPr="007A4810">
        <w:rPr>
          <w:rFonts w:ascii="Arial" w:hAnsi="Arial" w:cs="Arial"/>
          <w:b/>
          <w:sz w:val="20"/>
          <w:szCs w:val="20"/>
        </w:rPr>
        <w:t>4</w:t>
      </w:r>
      <w:r w:rsidR="001B4EC3" w:rsidRPr="007A4810">
        <w:rPr>
          <w:rFonts w:ascii="Arial" w:hAnsi="Arial" w:cs="Arial"/>
          <w:b/>
          <w:sz w:val="20"/>
          <w:szCs w:val="20"/>
        </w:rPr>
        <w:t>.1</w:t>
      </w:r>
      <w:r w:rsidR="001B4EC3" w:rsidRPr="007A4810">
        <w:rPr>
          <w:rFonts w:ascii="Arial" w:hAnsi="Arial" w:cs="Arial"/>
          <w:b/>
          <w:sz w:val="20"/>
          <w:szCs w:val="20"/>
        </w:rPr>
        <w:tab/>
        <w:t>Principles</w:t>
      </w:r>
    </w:p>
    <w:p w14:paraId="05EA3AF4" w14:textId="77777777" w:rsidR="001B4EC3" w:rsidRPr="007A4810" w:rsidRDefault="001B4EC3" w:rsidP="001B4EC3">
      <w:pPr>
        <w:rPr>
          <w:rFonts w:ascii="Arial" w:hAnsi="Arial" w:cs="Arial"/>
          <w:sz w:val="20"/>
          <w:szCs w:val="20"/>
        </w:rPr>
      </w:pPr>
    </w:p>
    <w:p w14:paraId="05E45359" w14:textId="67188EBC" w:rsidR="001B4EC3" w:rsidRPr="007A4810" w:rsidRDefault="001B4EC3" w:rsidP="0071603E">
      <w:pPr>
        <w:ind w:left="720" w:hanging="720"/>
        <w:jc w:val="both"/>
        <w:rPr>
          <w:rFonts w:ascii="Arial" w:hAnsi="Arial" w:cs="Arial"/>
          <w:sz w:val="20"/>
          <w:szCs w:val="20"/>
        </w:rPr>
      </w:pPr>
      <w:r w:rsidRPr="007A4810">
        <w:rPr>
          <w:rFonts w:ascii="Arial" w:hAnsi="Arial" w:cs="Arial"/>
          <w:sz w:val="20"/>
          <w:szCs w:val="20"/>
        </w:rPr>
        <w:tab/>
        <w:t xml:space="preserve">The trustee’s overriding obligation is to act in the best interests of the beneficiaries of the </w:t>
      </w:r>
      <w:r w:rsidR="0071603E" w:rsidRPr="007A4810">
        <w:rPr>
          <w:rFonts w:ascii="Arial" w:hAnsi="Arial" w:cs="Arial"/>
          <w:sz w:val="20"/>
          <w:szCs w:val="20"/>
        </w:rPr>
        <w:t>funds</w:t>
      </w:r>
      <w:r w:rsidRPr="007A4810">
        <w:rPr>
          <w:rFonts w:ascii="Arial" w:hAnsi="Arial" w:cs="Arial"/>
          <w:sz w:val="20"/>
          <w:szCs w:val="20"/>
        </w:rPr>
        <w:t xml:space="preserve"> invested in the corporate name of the University.  In this fiduciary role </w:t>
      </w:r>
      <w:r w:rsidR="00A52E34" w:rsidRPr="007A4810">
        <w:rPr>
          <w:rFonts w:ascii="Arial" w:hAnsi="Arial" w:cs="Arial"/>
          <w:sz w:val="20"/>
          <w:szCs w:val="20"/>
        </w:rPr>
        <w:t>the University</w:t>
      </w:r>
      <w:r w:rsidRPr="007A4810">
        <w:rPr>
          <w:rFonts w:ascii="Arial" w:hAnsi="Arial" w:cs="Arial"/>
          <w:sz w:val="20"/>
          <w:szCs w:val="20"/>
        </w:rPr>
        <w:t xml:space="preserve"> believes that ESG issues can affect the performance of investments.  Accordingly, </w:t>
      </w:r>
      <w:r w:rsidR="00A52E34" w:rsidRPr="007A4810">
        <w:rPr>
          <w:rFonts w:ascii="Arial" w:hAnsi="Arial" w:cs="Arial"/>
          <w:sz w:val="20"/>
          <w:szCs w:val="20"/>
        </w:rPr>
        <w:t>the University</w:t>
      </w:r>
      <w:r w:rsidRPr="007A4810">
        <w:rPr>
          <w:rFonts w:ascii="Arial" w:hAnsi="Arial" w:cs="Arial"/>
          <w:sz w:val="20"/>
          <w:szCs w:val="20"/>
        </w:rPr>
        <w:t xml:space="preserve"> believes that these factors should be taken into account when managing the assets, subject to the overriding fiduciary duty to maximise the financial return on investments.  </w:t>
      </w:r>
    </w:p>
    <w:p w14:paraId="235E335B" w14:textId="77777777" w:rsidR="001B4EC3" w:rsidRPr="007A4810" w:rsidRDefault="001B4EC3" w:rsidP="001B4EC3">
      <w:pPr>
        <w:ind w:left="720" w:hanging="720"/>
        <w:rPr>
          <w:rFonts w:ascii="Arial" w:hAnsi="Arial" w:cs="Arial"/>
          <w:sz w:val="20"/>
          <w:szCs w:val="20"/>
        </w:rPr>
      </w:pPr>
    </w:p>
    <w:p w14:paraId="6FE50279" w14:textId="63B1B8F1" w:rsidR="001B4EC3" w:rsidRPr="007A4810" w:rsidRDefault="001B4EC3" w:rsidP="0071603E">
      <w:pPr>
        <w:ind w:left="720" w:hanging="720"/>
        <w:jc w:val="both"/>
        <w:rPr>
          <w:rFonts w:ascii="Arial" w:hAnsi="Arial" w:cs="Arial"/>
          <w:sz w:val="20"/>
          <w:szCs w:val="20"/>
        </w:rPr>
      </w:pPr>
      <w:r w:rsidRPr="007A4810">
        <w:rPr>
          <w:rFonts w:ascii="Arial" w:hAnsi="Arial" w:cs="Arial"/>
          <w:sz w:val="20"/>
          <w:szCs w:val="20"/>
        </w:rPr>
        <w:tab/>
        <w:t xml:space="preserve">As a means of demonstrating its commitment to responsible investment practices, </w:t>
      </w:r>
      <w:r w:rsidR="00A52E34" w:rsidRPr="007A4810">
        <w:rPr>
          <w:rFonts w:ascii="Arial" w:hAnsi="Arial" w:cs="Arial"/>
          <w:sz w:val="20"/>
          <w:szCs w:val="20"/>
        </w:rPr>
        <w:t>the University</w:t>
      </w:r>
      <w:r w:rsidRPr="007A4810">
        <w:rPr>
          <w:rFonts w:ascii="Arial" w:hAnsi="Arial" w:cs="Arial"/>
          <w:sz w:val="20"/>
          <w:szCs w:val="20"/>
        </w:rPr>
        <w:t xml:space="preserve"> has </w:t>
      </w:r>
      <w:r w:rsidR="0071603E" w:rsidRPr="007A4810">
        <w:rPr>
          <w:rFonts w:ascii="Arial" w:hAnsi="Arial" w:cs="Arial"/>
          <w:sz w:val="20"/>
          <w:szCs w:val="20"/>
        </w:rPr>
        <w:t>employed</w:t>
      </w:r>
      <w:r w:rsidRPr="007A4810">
        <w:rPr>
          <w:rFonts w:ascii="Arial" w:hAnsi="Arial" w:cs="Arial"/>
          <w:sz w:val="20"/>
          <w:szCs w:val="20"/>
        </w:rPr>
        <w:t xml:space="preserve"> fund managers who </w:t>
      </w:r>
      <w:r w:rsidR="0071603E" w:rsidRPr="007A4810">
        <w:rPr>
          <w:rFonts w:ascii="Arial" w:hAnsi="Arial" w:cs="Arial"/>
          <w:sz w:val="20"/>
          <w:szCs w:val="20"/>
        </w:rPr>
        <w:t xml:space="preserve">are </w:t>
      </w:r>
      <w:r w:rsidR="00DE0F96" w:rsidRPr="007A4810">
        <w:rPr>
          <w:rFonts w:ascii="Arial" w:hAnsi="Arial" w:cs="Arial"/>
          <w:sz w:val="20"/>
          <w:szCs w:val="20"/>
        </w:rPr>
        <w:t>signatories to</w:t>
      </w:r>
      <w:r w:rsidR="0071603E" w:rsidRPr="007A4810">
        <w:rPr>
          <w:rFonts w:ascii="Arial" w:hAnsi="Arial" w:cs="Arial"/>
          <w:sz w:val="20"/>
          <w:szCs w:val="20"/>
        </w:rPr>
        <w:t xml:space="preserve"> t</w:t>
      </w:r>
      <w:r w:rsidRPr="007A4810">
        <w:rPr>
          <w:rFonts w:ascii="Arial" w:hAnsi="Arial" w:cs="Arial"/>
          <w:sz w:val="20"/>
          <w:szCs w:val="20"/>
        </w:rPr>
        <w:t>he UNPRI</w:t>
      </w:r>
      <w:r w:rsidR="0071603E" w:rsidRPr="007A4810">
        <w:rPr>
          <w:rFonts w:ascii="Arial" w:hAnsi="Arial" w:cs="Arial"/>
          <w:sz w:val="20"/>
          <w:szCs w:val="20"/>
        </w:rPr>
        <w:t>.  The fund managers are active investors</w:t>
      </w:r>
      <w:r w:rsidR="00AA51D7" w:rsidRPr="007A4810">
        <w:rPr>
          <w:rFonts w:ascii="Arial" w:hAnsi="Arial" w:cs="Arial"/>
          <w:sz w:val="20"/>
          <w:szCs w:val="20"/>
        </w:rPr>
        <w:t>,</w:t>
      </w:r>
      <w:r w:rsidR="0071603E" w:rsidRPr="007A4810">
        <w:rPr>
          <w:rFonts w:ascii="Arial" w:hAnsi="Arial" w:cs="Arial"/>
          <w:sz w:val="20"/>
          <w:szCs w:val="20"/>
        </w:rPr>
        <w:t xml:space="preserve"> who</w:t>
      </w:r>
      <w:r w:rsidRPr="007A4810">
        <w:rPr>
          <w:rFonts w:ascii="Arial" w:hAnsi="Arial" w:cs="Arial"/>
          <w:sz w:val="20"/>
          <w:szCs w:val="20"/>
        </w:rPr>
        <w:t xml:space="preserve"> vote at company meetings in which they have a shareholding</w:t>
      </w:r>
      <w:r w:rsidR="00AA51D7" w:rsidRPr="007A4810">
        <w:rPr>
          <w:rFonts w:ascii="Arial" w:hAnsi="Arial" w:cs="Arial"/>
          <w:sz w:val="20"/>
          <w:szCs w:val="20"/>
        </w:rPr>
        <w:t>,</w:t>
      </w:r>
      <w:r w:rsidRPr="007A4810">
        <w:rPr>
          <w:rFonts w:ascii="Arial" w:hAnsi="Arial" w:cs="Arial"/>
          <w:sz w:val="20"/>
          <w:szCs w:val="20"/>
        </w:rPr>
        <w:t xml:space="preserve"> and </w:t>
      </w:r>
      <w:r w:rsidR="0071603E" w:rsidRPr="007A4810">
        <w:rPr>
          <w:rFonts w:ascii="Arial" w:hAnsi="Arial" w:cs="Arial"/>
          <w:sz w:val="20"/>
          <w:szCs w:val="20"/>
        </w:rPr>
        <w:t xml:space="preserve">proactively </w:t>
      </w:r>
      <w:r w:rsidRPr="007A4810">
        <w:rPr>
          <w:rFonts w:ascii="Arial" w:hAnsi="Arial" w:cs="Arial"/>
          <w:sz w:val="20"/>
          <w:szCs w:val="20"/>
        </w:rPr>
        <w:t xml:space="preserve">engage directly with </w:t>
      </w:r>
      <w:r w:rsidR="0071603E" w:rsidRPr="007A4810">
        <w:rPr>
          <w:rFonts w:ascii="Arial" w:hAnsi="Arial" w:cs="Arial"/>
          <w:sz w:val="20"/>
          <w:szCs w:val="20"/>
        </w:rPr>
        <w:t>the</w:t>
      </w:r>
      <w:r w:rsidRPr="007A4810">
        <w:rPr>
          <w:rFonts w:ascii="Arial" w:hAnsi="Arial" w:cs="Arial"/>
          <w:sz w:val="20"/>
          <w:szCs w:val="20"/>
        </w:rPr>
        <w:t xml:space="preserve"> companies</w:t>
      </w:r>
      <w:r w:rsidR="00C10326" w:rsidRPr="007A4810">
        <w:rPr>
          <w:rFonts w:ascii="Arial" w:hAnsi="Arial" w:cs="Arial"/>
          <w:sz w:val="20"/>
          <w:szCs w:val="20"/>
        </w:rPr>
        <w:t>’</w:t>
      </w:r>
      <w:r w:rsidR="0071603E" w:rsidRPr="007A4810">
        <w:rPr>
          <w:rFonts w:ascii="Arial" w:hAnsi="Arial" w:cs="Arial"/>
          <w:sz w:val="20"/>
          <w:szCs w:val="20"/>
        </w:rPr>
        <w:t xml:space="preserve"> senior management teams</w:t>
      </w:r>
      <w:r w:rsidRPr="007A4810">
        <w:rPr>
          <w:rFonts w:ascii="Arial" w:hAnsi="Arial" w:cs="Arial"/>
          <w:sz w:val="20"/>
          <w:szCs w:val="20"/>
        </w:rPr>
        <w:t>.</w:t>
      </w:r>
    </w:p>
    <w:p w14:paraId="3F9CC2AF" w14:textId="77777777" w:rsidR="001B4EC3" w:rsidRPr="007A4810" w:rsidRDefault="001B4EC3" w:rsidP="001B4EC3">
      <w:pPr>
        <w:ind w:left="720" w:hanging="720"/>
        <w:rPr>
          <w:rFonts w:ascii="Arial" w:hAnsi="Arial" w:cs="Arial"/>
          <w:sz w:val="20"/>
          <w:szCs w:val="20"/>
        </w:rPr>
      </w:pPr>
    </w:p>
    <w:p w14:paraId="7BE58E9C" w14:textId="77777777" w:rsidR="001B4EC3" w:rsidRPr="007A4810" w:rsidRDefault="00DE0F96" w:rsidP="001B4EC3">
      <w:pPr>
        <w:ind w:left="720" w:hanging="720"/>
        <w:rPr>
          <w:rFonts w:ascii="Arial" w:hAnsi="Arial" w:cs="Arial"/>
          <w:b/>
          <w:sz w:val="20"/>
          <w:szCs w:val="20"/>
        </w:rPr>
      </w:pPr>
      <w:r w:rsidRPr="007A4810">
        <w:rPr>
          <w:rFonts w:ascii="Arial" w:hAnsi="Arial" w:cs="Arial"/>
          <w:b/>
          <w:sz w:val="20"/>
          <w:szCs w:val="20"/>
        </w:rPr>
        <w:t>4</w:t>
      </w:r>
      <w:r w:rsidR="0071603E" w:rsidRPr="007A4810">
        <w:rPr>
          <w:rFonts w:ascii="Arial" w:hAnsi="Arial" w:cs="Arial"/>
          <w:b/>
          <w:sz w:val="20"/>
          <w:szCs w:val="20"/>
        </w:rPr>
        <w:t>.2</w:t>
      </w:r>
      <w:r w:rsidR="001B4EC3" w:rsidRPr="007A4810">
        <w:rPr>
          <w:rFonts w:ascii="Arial" w:hAnsi="Arial" w:cs="Arial"/>
          <w:b/>
          <w:sz w:val="20"/>
          <w:szCs w:val="20"/>
        </w:rPr>
        <w:tab/>
        <w:t>Responsible Ownership</w:t>
      </w:r>
    </w:p>
    <w:p w14:paraId="309CEB1D" w14:textId="77777777" w:rsidR="001B4EC3" w:rsidRPr="007A4810" w:rsidRDefault="001B4EC3" w:rsidP="001B4EC3">
      <w:pPr>
        <w:ind w:left="720" w:hanging="720"/>
        <w:rPr>
          <w:rFonts w:ascii="Arial" w:hAnsi="Arial" w:cs="Arial"/>
          <w:sz w:val="20"/>
          <w:szCs w:val="20"/>
        </w:rPr>
      </w:pPr>
    </w:p>
    <w:p w14:paraId="022DFA25" w14:textId="77777777" w:rsidR="009D3748" w:rsidRPr="007A4810" w:rsidRDefault="001B4EC3" w:rsidP="008817A1">
      <w:pPr>
        <w:ind w:left="720" w:hanging="720"/>
        <w:jc w:val="both"/>
        <w:rPr>
          <w:rFonts w:ascii="Arial" w:hAnsi="Arial" w:cs="Arial"/>
          <w:sz w:val="20"/>
          <w:szCs w:val="20"/>
        </w:rPr>
      </w:pPr>
      <w:r w:rsidRPr="007A4810">
        <w:rPr>
          <w:rFonts w:ascii="Arial" w:hAnsi="Arial" w:cs="Arial"/>
          <w:sz w:val="20"/>
          <w:szCs w:val="20"/>
        </w:rPr>
        <w:tab/>
        <w:t>Responsible ownership is about recognising that the impacts of corporations on the environment, on workers and on communities can seriously affect the value of investments in them</w:t>
      </w:r>
      <w:r w:rsidR="006E048D" w:rsidRPr="007A4810">
        <w:rPr>
          <w:rFonts w:ascii="Arial" w:hAnsi="Arial" w:cs="Arial"/>
          <w:sz w:val="20"/>
          <w:szCs w:val="20"/>
        </w:rPr>
        <w:t>,</w:t>
      </w:r>
      <w:r w:rsidR="00A52E34" w:rsidRPr="007A4810">
        <w:rPr>
          <w:rFonts w:ascii="Arial" w:hAnsi="Arial" w:cs="Arial"/>
          <w:sz w:val="20"/>
          <w:szCs w:val="20"/>
        </w:rPr>
        <w:t xml:space="preserve"> and that the incorporation of ESG issues into investment decision-making can have a positive societal impact</w:t>
      </w:r>
      <w:r w:rsidRPr="007A4810">
        <w:rPr>
          <w:rFonts w:ascii="Arial" w:hAnsi="Arial" w:cs="Arial"/>
          <w:sz w:val="20"/>
          <w:szCs w:val="20"/>
        </w:rPr>
        <w:t>.</w:t>
      </w:r>
      <w:r w:rsidR="00A52E34" w:rsidRPr="007A4810">
        <w:rPr>
          <w:rFonts w:ascii="Arial" w:hAnsi="Arial" w:cs="Arial"/>
          <w:sz w:val="20"/>
          <w:szCs w:val="20"/>
        </w:rPr>
        <w:t xml:space="preserve"> </w:t>
      </w:r>
      <w:r w:rsidRPr="007A4810">
        <w:rPr>
          <w:rFonts w:ascii="Arial" w:hAnsi="Arial" w:cs="Arial"/>
          <w:sz w:val="20"/>
          <w:szCs w:val="20"/>
        </w:rPr>
        <w:t xml:space="preserve"> It also places a high value on companies’ own good governance.  </w:t>
      </w:r>
    </w:p>
    <w:p w14:paraId="50F83857" w14:textId="77777777" w:rsidR="009D3748" w:rsidRPr="007A4810" w:rsidRDefault="009D3748" w:rsidP="008817A1">
      <w:pPr>
        <w:ind w:left="720" w:hanging="720"/>
        <w:jc w:val="both"/>
        <w:rPr>
          <w:rFonts w:ascii="Arial" w:hAnsi="Arial" w:cs="Arial"/>
          <w:sz w:val="20"/>
          <w:szCs w:val="20"/>
        </w:rPr>
      </w:pPr>
    </w:p>
    <w:p w14:paraId="0EF47581" w14:textId="09660227" w:rsidR="001B4EC3" w:rsidRPr="007A4810" w:rsidRDefault="001B4EC3" w:rsidP="00AA0E7E">
      <w:pPr>
        <w:ind w:left="720"/>
        <w:jc w:val="both"/>
        <w:rPr>
          <w:rFonts w:ascii="Arial" w:hAnsi="Arial" w:cs="Arial"/>
          <w:sz w:val="20"/>
          <w:szCs w:val="20"/>
        </w:rPr>
      </w:pPr>
      <w:r w:rsidRPr="007A4810">
        <w:rPr>
          <w:rFonts w:ascii="Arial" w:hAnsi="Arial" w:cs="Arial"/>
          <w:sz w:val="20"/>
          <w:szCs w:val="20"/>
        </w:rPr>
        <w:t xml:space="preserve">Responsible ownership differs from ethical investment, which generally focuses on excluding or including companies from an investment portfolio (positive or negative screening).  By contrast, responsible ownership involves investors using their shareholder power in the companies they invest in.  </w:t>
      </w:r>
      <w:r w:rsidR="00A52E34" w:rsidRPr="007A4810">
        <w:rPr>
          <w:rFonts w:ascii="Arial" w:hAnsi="Arial" w:cs="Arial"/>
          <w:sz w:val="20"/>
          <w:szCs w:val="20"/>
        </w:rPr>
        <w:t>The University</w:t>
      </w:r>
      <w:r w:rsidRPr="007A4810">
        <w:rPr>
          <w:rFonts w:ascii="Arial" w:hAnsi="Arial" w:cs="Arial"/>
          <w:sz w:val="20"/>
          <w:szCs w:val="20"/>
        </w:rPr>
        <w:t xml:space="preserve"> does this via its fund managers who vote at shareholder meetings and engage, both directly and indirectly, with company senior management, when ESG issues of concerns have been identified.  The purpose of voting and engagement is to improve corporate </w:t>
      </w:r>
      <w:proofErr w:type="spellStart"/>
      <w:r w:rsidRPr="007A4810">
        <w:rPr>
          <w:rFonts w:ascii="Arial" w:hAnsi="Arial" w:cs="Arial"/>
          <w:sz w:val="20"/>
          <w:szCs w:val="20"/>
        </w:rPr>
        <w:t>behaviour</w:t>
      </w:r>
      <w:proofErr w:type="gramStart"/>
      <w:r w:rsidR="006E048D" w:rsidRPr="007A4810">
        <w:rPr>
          <w:rFonts w:ascii="Arial" w:hAnsi="Arial" w:cs="Arial"/>
          <w:sz w:val="20"/>
          <w:szCs w:val="20"/>
        </w:rPr>
        <w:t>,</w:t>
      </w:r>
      <w:r w:rsidRPr="007A4810">
        <w:rPr>
          <w:rFonts w:ascii="Arial" w:hAnsi="Arial" w:cs="Arial"/>
          <w:sz w:val="20"/>
          <w:szCs w:val="20"/>
        </w:rPr>
        <w:t>to</w:t>
      </w:r>
      <w:proofErr w:type="spellEnd"/>
      <w:proofErr w:type="gramEnd"/>
      <w:r w:rsidRPr="007A4810">
        <w:rPr>
          <w:rFonts w:ascii="Arial" w:hAnsi="Arial" w:cs="Arial"/>
          <w:sz w:val="20"/>
          <w:szCs w:val="20"/>
        </w:rPr>
        <w:t xml:space="preserve"> protect shareholder value</w:t>
      </w:r>
      <w:r w:rsidR="00A52E34" w:rsidRPr="007A4810">
        <w:rPr>
          <w:rFonts w:ascii="Arial" w:hAnsi="Arial" w:cs="Arial"/>
          <w:sz w:val="20"/>
          <w:szCs w:val="20"/>
        </w:rPr>
        <w:t xml:space="preserve"> and promote ESG best practice</w:t>
      </w:r>
      <w:r w:rsidRPr="007A4810">
        <w:rPr>
          <w:rFonts w:ascii="Arial" w:hAnsi="Arial" w:cs="Arial"/>
          <w:sz w:val="20"/>
          <w:szCs w:val="20"/>
        </w:rPr>
        <w:t>.</w:t>
      </w:r>
    </w:p>
    <w:p w14:paraId="534C91A8" w14:textId="77777777" w:rsidR="001B4EC3" w:rsidRPr="007A4810" w:rsidRDefault="001B4EC3" w:rsidP="001B4EC3">
      <w:pPr>
        <w:ind w:left="720" w:hanging="720"/>
        <w:rPr>
          <w:rFonts w:ascii="Arial" w:hAnsi="Arial" w:cs="Arial"/>
          <w:sz w:val="20"/>
          <w:szCs w:val="20"/>
        </w:rPr>
      </w:pPr>
    </w:p>
    <w:p w14:paraId="3B7CB1EC" w14:textId="5ED3AB19" w:rsidR="001B4EC3" w:rsidRPr="007A4810" w:rsidRDefault="001B4EC3" w:rsidP="008817A1">
      <w:pPr>
        <w:ind w:left="720" w:hanging="720"/>
        <w:jc w:val="both"/>
        <w:rPr>
          <w:rFonts w:ascii="Arial" w:hAnsi="Arial" w:cs="Arial"/>
          <w:sz w:val="20"/>
          <w:szCs w:val="20"/>
        </w:rPr>
      </w:pPr>
      <w:r w:rsidRPr="007A4810">
        <w:rPr>
          <w:rFonts w:ascii="Arial" w:hAnsi="Arial" w:cs="Arial"/>
          <w:sz w:val="20"/>
          <w:szCs w:val="20"/>
        </w:rPr>
        <w:tab/>
      </w:r>
      <w:r w:rsidR="006E048D" w:rsidRPr="007A4810">
        <w:rPr>
          <w:rFonts w:ascii="Arial" w:hAnsi="Arial" w:cs="Arial"/>
          <w:sz w:val="20"/>
          <w:szCs w:val="20"/>
        </w:rPr>
        <w:t xml:space="preserve">The University </w:t>
      </w:r>
      <w:r w:rsidRPr="007A4810">
        <w:rPr>
          <w:rFonts w:ascii="Arial" w:hAnsi="Arial" w:cs="Arial"/>
          <w:sz w:val="20"/>
          <w:szCs w:val="20"/>
        </w:rPr>
        <w:t>expects its fund managers to invest in companies which comply with ESG best practice.</w:t>
      </w:r>
      <w:r w:rsidR="00A52E34" w:rsidRPr="007A4810">
        <w:rPr>
          <w:rFonts w:ascii="Arial" w:hAnsi="Arial" w:cs="Arial"/>
          <w:sz w:val="20"/>
          <w:szCs w:val="20"/>
        </w:rPr>
        <w:t xml:space="preserve">  As such, </w:t>
      </w:r>
      <w:r w:rsidR="009D3748" w:rsidRPr="007A4810">
        <w:rPr>
          <w:rFonts w:ascii="Arial" w:hAnsi="Arial" w:cs="Arial"/>
          <w:sz w:val="20"/>
          <w:szCs w:val="20"/>
        </w:rPr>
        <w:t>the University</w:t>
      </w:r>
      <w:r w:rsidR="00A52E34" w:rsidRPr="007A4810">
        <w:rPr>
          <w:rFonts w:ascii="Arial" w:hAnsi="Arial" w:cs="Arial"/>
          <w:sz w:val="20"/>
          <w:szCs w:val="20"/>
        </w:rPr>
        <w:t xml:space="preserve"> expects that its fund managers will act in a way that reduces and, ideally, eliminates</w:t>
      </w:r>
      <w:r w:rsidR="00B10288" w:rsidRPr="007A4810">
        <w:rPr>
          <w:rFonts w:ascii="Arial" w:hAnsi="Arial" w:cs="Arial"/>
          <w:sz w:val="20"/>
          <w:szCs w:val="20"/>
        </w:rPr>
        <w:t>, corporate behaviour leading to:</w:t>
      </w:r>
    </w:p>
    <w:p w14:paraId="39C2870C" w14:textId="77777777" w:rsidR="00B10288" w:rsidRPr="007A4810" w:rsidRDefault="00B10288" w:rsidP="008817A1">
      <w:pPr>
        <w:ind w:left="720" w:hanging="720"/>
        <w:jc w:val="both"/>
        <w:rPr>
          <w:rFonts w:ascii="Arial" w:hAnsi="Arial" w:cs="Arial"/>
          <w:sz w:val="20"/>
          <w:szCs w:val="20"/>
        </w:rPr>
      </w:pPr>
    </w:p>
    <w:p w14:paraId="76C3A8CE" w14:textId="7957B8AB" w:rsidR="00B10288" w:rsidRPr="007A4810" w:rsidRDefault="004109EA" w:rsidP="00AA0E7E">
      <w:pPr>
        <w:pStyle w:val="ListParagraph"/>
        <w:numPr>
          <w:ilvl w:val="0"/>
          <w:numId w:val="8"/>
        </w:numPr>
        <w:jc w:val="both"/>
        <w:rPr>
          <w:rFonts w:ascii="Arial" w:hAnsi="Arial" w:cs="Arial"/>
          <w:sz w:val="20"/>
          <w:szCs w:val="20"/>
        </w:rPr>
      </w:pPr>
      <w:r w:rsidRPr="007A4810">
        <w:rPr>
          <w:rFonts w:ascii="Arial" w:hAnsi="Arial" w:cs="Arial"/>
          <w:sz w:val="20"/>
          <w:szCs w:val="20"/>
        </w:rPr>
        <w:t>E</w:t>
      </w:r>
      <w:r w:rsidR="00B10288" w:rsidRPr="007A4810">
        <w:rPr>
          <w:rFonts w:ascii="Arial" w:hAnsi="Arial" w:cs="Arial"/>
          <w:sz w:val="20"/>
          <w:szCs w:val="20"/>
        </w:rPr>
        <w:t>nvironmental degradation</w:t>
      </w:r>
    </w:p>
    <w:p w14:paraId="4B2FD1AF" w14:textId="3554691D" w:rsidR="00B10288" w:rsidRPr="007A4810" w:rsidRDefault="004109EA" w:rsidP="00AA0E7E">
      <w:pPr>
        <w:pStyle w:val="ListParagraph"/>
        <w:numPr>
          <w:ilvl w:val="0"/>
          <w:numId w:val="8"/>
        </w:numPr>
        <w:jc w:val="both"/>
        <w:rPr>
          <w:rFonts w:ascii="Arial" w:hAnsi="Arial" w:cs="Arial"/>
          <w:sz w:val="20"/>
          <w:szCs w:val="20"/>
        </w:rPr>
      </w:pPr>
      <w:r w:rsidRPr="007A4810">
        <w:rPr>
          <w:rFonts w:ascii="Arial" w:hAnsi="Arial" w:cs="Arial"/>
          <w:sz w:val="20"/>
          <w:szCs w:val="20"/>
        </w:rPr>
        <w:t>C</w:t>
      </w:r>
      <w:r w:rsidR="006E048D" w:rsidRPr="007A4810">
        <w:rPr>
          <w:rFonts w:ascii="Arial" w:hAnsi="Arial" w:cs="Arial"/>
          <w:sz w:val="20"/>
          <w:szCs w:val="20"/>
        </w:rPr>
        <w:t>limate change</w:t>
      </w:r>
    </w:p>
    <w:p w14:paraId="048C0151" w14:textId="0513553E" w:rsidR="00B10288" w:rsidRPr="007A4810" w:rsidRDefault="004109EA" w:rsidP="00AA0E7E">
      <w:pPr>
        <w:pStyle w:val="ListParagraph"/>
        <w:numPr>
          <w:ilvl w:val="0"/>
          <w:numId w:val="8"/>
        </w:numPr>
        <w:jc w:val="both"/>
        <w:rPr>
          <w:rFonts w:ascii="Arial" w:hAnsi="Arial" w:cs="Arial"/>
          <w:sz w:val="20"/>
          <w:szCs w:val="20"/>
        </w:rPr>
      </w:pPr>
      <w:r w:rsidRPr="007A4810">
        <w:rPr>
          <w:rFonts w:ascii="Arial" w:hAnsi="Arial" w:cs="Arial"/>
          <w:sz w:val="20"/>
          <w:szCs w:val="20"/>
        </w:rPr>
        <w:t>S</w:t>
      </w:r>
      <w:r w:rsidR="009D3748" w:rsidRPr="007A4810">
        <w:rPr>
          <w:rFonts w:ascii="Arial" w:hAnsi="Arial" w:cs="Arial"/>
          <w:sz w:val="20"/>
          <w:szCs w:val="20"/>
        </w:rPr>
        <w:t>upport for war or loss</w:t>
      </w:r>
      <w:r w:rsidR="006E048D" w:rsidRPr="007A4810">
        <w:rPr>
          <w:rFonts w:ascii="Arial" w:hAnsi="Arial" w:cs="Arial"/>
          <w:sz w:val="20"/>
          <w:szCs w:val="20"/>
        </w:rPr>
        <w:t xml:space="preserve"> of life</w:t>
      </w:r>
    </w:p>
    <w:p w14:paraId="0A1B32A2" w14:textId="51B9D410" w:rsidR="00B10288" w:rsidRPr="007A4810" w:rsidRDefault="004109EA" w:rsidP="00AA0E7E">
      <w:pPr>
        <w:pStyle w:val="ListParagraph"/>
        <w:numPr>
          <w:ilvl w:val="0"/>
          <w:numId w:val="8"/>
        </w:numPr>
        <w:jc w:val="both"/>
        <w:rPr>
          <w:rFonts w:ascii="Arial" w:hAnsi="Arial" w:cs="Arial"/>
          <w:sz w:val="20"/>
          <w:szCs w:val="20"/>
        </w:rPr>
      </w:pPr>
      <w:r w:rsidRPr="007A4810">
        <w:rPr>
          <w:rFonts w:ascii="Arial" w:hAnsi="Arial" w:cs="Arial"/>
          <w:sz w:val="20"/>
          <w:szCs w:val="20"/>
        </w:rPr>
        <w:t>H</w:t>
      </w:r>
      <w:r w:rsidR="00B10288" w:rsidRPr="007A4810">
        <w:rPr>
          <w:rFonts w:ascii="Arial" w:hAnsi="Arial" w:cs="Arial"/>
          <w:sz w:val="20"/>
          <w:szCs w:val="20"/>
        </w:rPr>
        <w:t>uman rights violations</w:t>
      </w:r>
    </w:p>
    <w:p w14:paraId="507218CA" w14:textId="3AB15C1F" w:rsidR="00B10288" w:rsidRPr="007A4810" w:rsidRDefault="004109EA" w:rsidP="00AA0E7E">
      <w:pPr>
        <w:pStyle w:val="ListParagraph"/>
        <w:numPr>
          <w:ilvl w:val="0"/>
          <w:numId w:val="8"/>
        </w:numPr>
        <w:jc w:val="both"/>
        <w:rPr>
          <w:rFonts w:ascii="Arial" w:hAnsi="Arial" w:cs="Arial"/>
          <w:sz w:val="20"/>
          <w:szCs w:val="20"/>
        </w:rPr>
      </w:pPr>
      <w:r w:rsidRPr="007A4810">
        <w:rPr>
          <w:rFonts w:ascii="Arial" w:hAnsi="Arial" w:cs="Arial"/>
          <w:sz w:val="20"/>
          <w:szCs w:val="20"/>
        </w:rPr>
        <w:lastRenderedPageBreak/>
        <w:t>T</w:t>
      </w:r>
      <w:r w:rsidR="00B10288" w:rsidRPr="007A4810">
        <w:rPr>
          <w:rFonts w:ascii="Arial" w:hAnsi="Arial" w:cs="Arial"/>
          <w:sz w:val="20"/>
          <w:szCs w:val="20"/>
        </w:rPr>
        <w:t xml:space="preserve">he </w:t>
      </w:r>
      <w:proofErr w:type="spellStart"/>
      <w:r w:rsidR="00B10288" w:rsidRPr="007A4810">
        <w:rPr>
          <w:rFonts w:ascii="Arial" w:hAnsi="Arial" w:cs="Arial"/>
          <w:sz w:val="20"/>
          <w:szCs w:val="20"/>
        </w:rPr>
        <w:t>institutionali</w:t>
      </w:r>
      <w:r w:rsidR="006E048D" w:rsidRPr="007A4810">
        <w:rPr>
          <w:rFonts w:ascii="Arial" w:hAnsi="Arial" w:cs="Arial"/>
          <w:sz w:val="20"/>
          <w:szCs w:val="20"/>
        </w:rPr>
        <w:t>s</w:t>
      </w:r>
      <w:r w:rsidR="00B10288" w:rsidRPr="007A4810">
        <w:rPr>
          <w:rFonts w:ascii="Arial" w:hAnsi="Arial" w:cs="Arial"/>
          <w:sz w:val="20"/>
          <w:szCs w:val="20"/>
        </w:rPr>
        <w:t>ation</w:t>
      </w:r>
      <w:proofErr w:type="spellEnd"/>
      <w:r w:rsidR="00B10288" w:rsidRPr="007A4810">
        <w:rPr>
          <w:rFonts w:ascii="Arial" w:hAnsi="Arial" w:cs="Arial"/>
          <w:sz w:val="20"/>
          <w:szCs w:val="20"/>
        </w:rPr>
        <w:t xml:space="preserve"> of poverty through discriminatory market practices</w:t>
      </w:r>
    </w:p>
    <w:p w14:paraId="442DD01B" w14:textId="4127F43E" w:rsidR="00B10288" w:rsidRPr="007A4810" w:rsidRDefault="004109EA" w:rsidP="00AA0E7E">
      <w:pPr>
        <w:pStyle w:val="ListParagraph"/>
        <w:numPr>
          <w:ilvl w:val="0"/>
          <w:numId w:val="8"/>
        </w:numPr>
        <w:jc w:val="both"/>
        <w:rPr>
          <w:rFonts w:ascii="Arial" w:hAnsi="Arial" w:cs="Arial"/>
          <w:sz w:val="20"/>
          <w:szCs w:val="20"/>
        </w:rPr>
      </w:pPr>
      <w:r w:rsidRPr="007A4810">
        <w:rPr>
          <w:rFonts w:ascii="Arial" w:hAnsi="Arial" w:cs="Arial"/>
          <w:sz w:val="20"/>
          <w:szCs w:val="20"/>
        </w:rPr>
        <w:t>R</w:t>
      </w:r>
      <w:r w:rsidR="00B10288" w:rsidRPr="007A4810">
        <w:rPr>
          <w:rFonts w:ascii="Arial" w:hAnsi="Arial" w:cs="Arial"/>
          <w:sz w:val="20"/>
          <w:szCs w:val="20"/>
        </w:rPr>
        <w:t>acial or sexual discrimination</w:t>
      </w:r>
    </w:p>
    <w:p w14:paraId="2C9563AB" w14:textId="6EB2CCF2" w:rsidR="00B10288" w:rsidRPr="007A4810" w:rsidRDefault="004109EA" w:rsidP="00AA0E7E">
      <w:pPr>
        <w:pStyle w:val="ListParagraph"/>
        <w:numPr>
          <w:ilvl w:val="0"/>
          <w:numId w:val="8"/>
        </w:numPr>
        <w:jc w:val="both"/>
        <w:rPr>
          <w:rFonts w:ascii="Arial" w:hAnsi="Arial" w:cs="Arial"/>
          <w:sz w:val="20"/>
          <w:szCs w:val="20"/>
        </w:rPr>
      </w:pPr>
      <w:r w:rsidRPr="007A4810">
        <w:rPr>
          <w:rFonts w:ascii="Arial" w:hAnsi="Arial" w:cs="Arial"/>
          <w:sz w:val="20"/>
          <w:szCs w:val="20"/>
        </w:rPr>
        <w:t>P</w:t>
      </w:r>
      <w:r w:rsidR="006E048D" w:rsidRPr="007A4810">
        <w:rPr>
          <w:rFonts w:ascii="Arial" w:hAnsi="Arial" w:cs="Arial"/>
          <w:sz w:val="20"/>
          <w:szCs w:val="20"/>
        </w:rPr>
        <w:t>ractices contributing to ill health</w:t>
      </w:r>
    </w:p>
    <w:p w14:paraId="7A1D5203" w14:textId="5C6D5BD8" w:rsidR="00B10288" w:rsidRPr="007A4810" w:rsidRDefault="004109EA" w:rsidP="00AA0E7E">
      <w:pPr>
        <w:pStyle w:val="ListParagraph"/>
        <w:numPr>
          <w:ilvl w:val="0"/>
          <w:numId w:val="8"/>
        </w:numPr>
        <w:jc w:val="both"/>
        <w:rPr>
          <w:rFonts w:ascii="Arial" w:hAnsi="Arial" w:cs="Arial"/>
          <w:sz w:val="20"/>
          <w:szCs w:val="20"/>
        </w:rPr>
      </w:pPr>
      <w:r w:rsidRPr="007A4810">
        <w:rPr>
          <w:rFonts w:ascii="Arial" w:hAnsi="Arial" w:cs="Arial"/>
          <w:sz w:val="20"/>
          <w:szCs w:val="20"/>
        </w:rPr>
        <w:t>T</w:t>
      </w:r>
      <w:r w:rsidR="00B10288" w:rsidRPr="007A4810">
        <w:rPr>
          <w:rFonts w:ascii="Arial" w:hAnsi="Arial" w:cs="Arial"/>
          <w:sz w:val="20"/>
          <w:szCs w:val="20"/>
        </w:rPr>
        <w:t>he exploitation of workers, and</w:t>
      </w:r>
    </w:p>
    <w:p w14:paraId="51E03473" w14:textId="6A695817" w:rsidR="00B10288" w:rsidRPr="007A4810" w:rsidRDefault="004109EA" w:rsidP="00836469">
      <w:pPr>
        <w:pStyle w:val="ListParagraph"/>
        <w:numPr>
          <w:ilvl w:val="0"/>
          <w:numId w:val="8"/>
        </w:numPr>
        <w:spacing w:after="0"/>
        <w:jc w:val="both"/>
        <w:rPr>
          <w:rFonts w:ascii="Arial" w:hAnsi="Arial" w:cs="Arial"/>
          <w:sz w:val="20"/>
          <w:szCs w:val="20"/>
        </w:rPr>
      </w:pPr>
      <w:r w:rsidRPr="007A4810">
        <w:rPr>
          <w:rFonts w:ascii="Arial" w:hAnsi="Arial" w:cs="Arial"/>
          <w:sz w:val="20"/>
          <w:szCs w:val="20"/>
        </w:rPr>
        <w:t>T</w:t>
      </w:r>
      <w:r w:rsidR="00B10288" w:rsidRPr="007A4810">
        <w:rPr>
          <w:rFonts w:ascii="Arial" w:hAnsi="Arial" w:cs="Arial"/>
          <w:sz w:val="20"/>
          <w:szCs w:val="20"/>
        </w:rPr>
        <w:t>he giving or receiving of bribes.</w:t>
      </w:r>
    </w:p>
    <w:p w14:paraId="21490741" w14:textId="77777777" w:rsidR="001B4EC3" w:rsidRPr="007A4810" w:rsidRDefault="001B4EC3" w:rsidP="00836469">
      <w:pPr>
        <w:ind w:left="720" w:hanging="720"/>
        <w:rPr>
          <w:rFonts w:ascii="Arial" w:hAnsi="Arial" w:cs="Arial"/>
          <w:sz w:val="20"/>
          <w:szCs w:val="20"/>
        </w:rPr>
      </w:pPr>
    </w:p>
    <w:p w14:paraId="09A81C89" w14:textId="58B08469" w:rsidR="001B4EC3" w:rsidRPr="007A4810" w:rsidRDefault="001B4EC3" w:rsidP="008817A1">
      <w:pPr>
        <w:ind w:left="720" w:hanging="720"/>
        <w:jc w:val="both"/>
        <w:rPr>
          <w:rFonts w:ascii="Arial" w:hAnsi="Arial" w:cs="Arial"/>
          <w:sz w:val="20"/>
          <w:szCs w:val="20"/>
        </w:rPr>
      </w:pPr>
      <w:r w:rsidRPr="007A4810">
        <w:rPr>
          <w:rFonts w:ascii="Arial" w:hAnsi="Arial" w:cs="Arial"/>
          <w:sz w:val="20"/>
          <w:szCs w:val="20"/>
        </w:rPr>
        <w:tab/>
        <w:t>For active</w:t>
      </w:r>
      <w:r w:rsidR="00B10288" w:rsidRPr="007A4810">
        <w:rPr>
          <w:rFonts w:ascii="Arial" w:hAnsi="Arial" w:cs="Arial"/>
          <w:sz w:val="20"/>
          <w:szCs w:val="20"/>
        </w:rPr>
        <w:t>ly</w:t>
      </w:r>
      <w:r w:rsidRPr="007A4810">
        <w:rPr>
          <w:rFonts w:ascii="Arial" w:hAnsi="Arial" w:cs="Arial"/>
          <w:sz w:val="20"/>
          <w:szCs w:val="20"/>
        </w:rPr>
        <w:t xml:space="preserve"> managed funds </w:t>
      </w:r>
      <w:r w:rsidR="0071603E" w:rsidRPr="007A4810">
        <w:rPr>
          <w:rFonts w:ascii="Arial" w:hAnsi="Arial" w:cs="Arial"/>
          <w:sz w:val="20"/>
          <w:szCs w:val="20"/>
        </w:rPr>
        <w:t xml:space="preserve">votes </w:t>
      </w:r>
      <w:r w:rsidRPr="007A4810">
        <w:rPr>
          <w:rFonts w:ascii="Arial" w:hAnsi="Arial" w:cs="Arial"/>
          <w:sz w:val="20"/>
          <w:szCs w:val="20"/>
        </w:rPr>
        <w:t xml:space="preserve">are cast by </w:t>
      </w:r>
      <w:proofErr w:type="spellStart"/>
      <w:r w:rsidRPr="007A4810">
        <w:rPr>
          <w:rFonts w:ascii="Arial" w:hAnsi="Arial" w:cs="Arial"/>
          <w:sz w:val="20"/>
          <w:szCs w:val="20"/>
        </w:rPr>
        <w:t>Cazenove</w:t>
      </w:r>
      <w:proofErr w:type="spellEnd"/>
      <w:r w:rsidRPr="007A4810">
        <w:rPr>
          <w:rFonts w:ascii="Arial" w:hAnsi="Arial" w:cs="Arial"/>
          <w:sz w:val="20"/>
          <w:szCs w:val="20"/>
        </w:rPr>
        <w:t xml:space="preserve">/Schroders according to its own voting policies.  For passively managed </w:t>
      </w:r>
      <w:r w:rsidR="00B10288" w:rsidRPr="007A4810">
        <w:rPr>
          <w:rFonts w:ascii="Arial" w:hAnsi="Arial" w:cs="Arial"/>
          <w:sz w:val="20"/>
          <w:szCs w:val="20"/>
        </w:rPr>
        <w:t>funds</w:t>
      </w:r>
      <w:r w:rsidRPr="007A4810">
        <w:rPr>
          <w:rFonts w:ascii="Arial" w:hAnsi="Arial" w:cs="Arial"/>
          <w:sz w:val="20"/>
          <w:szCs w:val="20"/>
        </w:rPr>
        <w:t xml:space="preserve">, votes are cast by Legal and General Investment Management, according to its own voting policies.  The managers </w:t>
      </w:r>
      <w:r w:rsidR="0071603E" w:rsidRPr="007A4810">
        <w:rPr>
          <w:rFonts w:ascii="Arial" w:hAnsi="Arial" w:cs="Arial"/>
          <w:sz w:val="20"/>
          <w:szCs w:val="20"/>
        </w:rPr>
        <w:t xml:space="preserve">will </w:t>
      </w:r>
      <w:r w:rsidRPr="007A4810">
        <w:rPr>
          <w:rFonts w:ascii="Arial" w:hAnsi="Arial" w:cs="Arial"/>
          <w:sz w:val="20"/>
          <w:szCs w:val="20"/>
        </w:rPr>
        <w:t xml:space="preserve">report to </w:t>
      </w:r>
      <w:r w:rsidR="00840437" w:rsidRPr="007A4810">
        <w:rPr>
          <w:rFonts w:ascii="Arial" w:hAnsi="Arial" w:cs="Arial"/>
          <w:sz w:val="20"/>
          <w:szCs w:val="20"/>
        </w:rPr>
        <w:t>the University</w:t>
      </w:r>
      <w:r w:rsidRPr="007A4810">
        <w:rPr>
          <w:rFonts w:ascii="Arial" w:hAnsi="Arial" w:cs="Arial"/>
          <w:sz w:val="20"/>
          <w:szCs w:val="20"/>
        </w:rPr>
        <w:t xml:space="preserve"> on their voting activities on a regular basis.</w:t>
      </w:r>
    </w:p>
    <w:p w14:paraId="115B7808" w14:textId="77777777" w:rsidR="001B4EC3" w:rsidRPr="007A4810" w:rsidRDefault="001B4EC3" w:rsidP="001B4EC3">
      <w:pPr>
        <w:ind w:left="720" w:hanging="720"/>
        <w:rPr>
          <w:rFonts w:ascii="Arial" w:hAnsi="Arial" w:cs="Arial"/>
          <w:sz w:val="20"/>
          <w:szCs w:val="20"/>
        </w:rPr>
      </w:pPr>
    </w:p>
    <w:p w14:paraId="7D189096" w14:textId="2214C1DA" w:rsidR="001B4EC3" w:rsidRPr="007A4810" w:rsidRDefault="001B4EC3" w:rsidP="008817A1">
      <w:pPr>
        <w:ind w:left="720" w:hanging="720"/>
        <w:jc w:val="both"/>
        <w:rPr>
          <w:rFonts w:ascii="Arial" w:hAnsi="Arial" w:cs="Arial"/>
          <w:sz w:val="20"/>
          <w:szCs w:val="20"/>
        </w:rPr>
      </w:pPr>
      <w:r w:rsidRPr="007A4810">
        <w:rPr>
          <w:rFonts w:ascii="Arial" w:hAnsi="Arial" w:cs="Arial"/>
          <w:sz w:val="20"/>
          <w:szCs w:val="20"/>
        </w:rPr>
        <w:tab/>
        <w:t xml:space="preserve">The fund managers are encouraged to engage, on </w:t>
      </w:r>
      <w:r w:rsidR="00840437" w:rsidRPr="007A4810">
        <w:rPr>
          <w:rFonts w:ascii="Arial" w:hAnsi="Arial" w:cs="Arial"/>
          <w:sz w:val="20"/>
          <w:szCs w:val="20"/>
        </w:rPr>
        <w:t>the University</w:t>
      </w:r>
      <w:r w:rsidR="003C6602" w:rsidRPr="007A4810">
        <w:rPr>
          <w:rFonts w:ascii="Arial" w:hAnsi="Arial" w:cs="Arial"/>
          <w:sz w:val="20"/>
          <w:szCs w:val="20"/>
        </w:rPr>
        <w:t>’s</w:t>
      </w:r>
      <w:r w:rsidRPr="007A4810">
        <w:rPr>
          <w:rFonts w:ascii="Arial" w:hAnsi="Arial" w:cs="Arial"/>
          <w:sz w:val="20"/>
          <w:szCs w:val="20"/>
        </w:rPr>
        <w:t xml:space="preserve"> behalf, with those companies where ESG policies fall short of acceptable standards</w:t>
      </w:r>
      <w:r w:rsidR="003C6602" w:rsidRPr="007A4810">
        <w:rPr>
          <w:rFonts w:ascii="Arial" w:hAnsi="Arial" w:cs="Arial"/>
          <w:sz w:val="20"/>
          <w:szCs w:val="20"/>
        </w:rPr>
        <w:t>,</w:t>
      </w:r>
      <w:r w:rsidRPr="007A4810">
        <w:rPr>
          <w:rFonts w:ascii="Arial" w:hAnsi="Arial" w:cs="Arial"/>
          <w:sz w:val="20"/>
          <w:szCs w:val="20"/>
        </w:rPr>
        <w:t xml:space="preserve"> and where this is likely to have a detrimental </w:t>
      </w:r>
      <w:r w:rsidR="003C6602" w:rsidRPr="007A4810">
        <w:rPr>
          <w:rFonts w:ascii="Arial" w:hAnsi="Arial" w:cs="Arial"/>
          <w:sz w:val="20"/>
          <w:szCs w:val="20"/>
        </w:rPr>
        <w:t xml:space="preserve">impact </w:t>
      </w:r>
      <w:r w:rsidRPr="007A4810">
        <w:rPr>
          <w:rFonts w:ascii="Arial" w:hAnsi="Arial" w:cs="Arial"/>
          <w:sz w:val="20"/>
          <w:szCs w:val="20"/>
        </w:rPr>
        <w:t>on the long-term value of the company.</w:t>
      </w:r>
    </w:p>
    <w:p w14:paraId="326FC7D9" w14:textId="77777777" w:rsidR="001B4EC3" w:rsidRPr="007A4810" w:rsidRDefault="001B4EC3" w:rsidP="001B4EC3">
      <w:pPr>
        <w:ind w:left="720" w:hanging="720"/>
        <w:rPr>
          <w:rFonts w:ascii="Arial" w:hAnsi="Arial" w:cs="Arial"/>
          <w:sz w:val="20"/>
          <w:szCs w:val="20"/>
        </w:rPr>
      </w:pPr>
    </w:p>
    <w:p w14:paraId="0552A554" w14:textId="115D8830" w:rsidR="00A92975" w:rsidRPr="007A4810" w:rsidRDefault="00A92975" w:rsidP="00A92975">
      <w:pPr>
        <w:ind w:left="720"/>
        <w:jc w:val="both"/>
        <w:rPr>
          <w:rFonts w:ascii="Arial" w:hAnsi="Arial" w:cs="Arial"/>
          <w:sz w:val="20"/>
          <w:szCs w:val="20"/>
        </w:rPr>
      </w:pPr>
      <w:r w:rsidRPr="007A4810">
        <w:rPr>
          <w:rFonts w:ascii="Arial" w:hAnsi="Arial" w:cs="Arial"/>
          <w:sz w:val="20"/>
          <w:szCs w:val="20"/>
        </w:rPr>
        <w:t>Where investments are made by third party fund managers in pooled funds or similar vehicles, the University’s requirement is that wherever practicable, the funds in question should seek to avoid direct investment in companies who do not comply with ESG best practice. The University does, however, recognise that where investments are made in index-related securities, it is not practicable</w:t>
      </w:r>
      <w:r w:rsidR="003C6602" w:rsidRPr="007A4810">
        <w:rPr>
          <w:rFonts w:ascii="Arial" w:hAnsi="Arial" w:cs="Arial"/>
          <w:sz w:val="20"/>
          <w:szCs w:val="20"/>
        </w:rPr>
        <w:t>,</w:t>
      </w:r>
      <w:r w:rsidRPr="007A4810">
        <w:rPr>
          <w:rFonts w:ascii="Arial" w:hAnsi="Arial" w:cs="Arial"/>
          <w:sz w:val="20"/>
          <w:szCs w:val="20"/>
        </w:rPr>
        <w:t xml:space="preserve"> at present</w:t>
      </w:r>
      <w:r w:rsidR="003C6602" w:rsidRPr="007A4810">
        <w:rPr>
          <w:rFonts w:ascii="Arial" w:hAnsi="Arial" w:cs="Arial"/>
          <w:sz w:val="20"/>
          <w:szCs w:val="20"/>
        </w:rPr>
        <w:t>,</w:t>
      </w:r>
      <w:r w:rsidRPr="007A4810">
        <w:rPr>
          <w:rFonts w:ascii="Arial" w:hAnsi="Arial" w:cs="Arial"/>
          <w:sz w:val="20"/>
          <w:szCs w:val="20"/>
        </w:rPr>
        <w:t xml:space="preserve"> to pursue an investment strategy where no indirect investment in such companies arises. Therefore the University will</w:t>
      </w:r>
      <w:r w:rsidR="003C7B34" w:rsidRPr="007A4810">
        <w:rPr>
          <w:rFonts w:ascii="Arial" w:hAnsi="Arial" w:cs="Arial"/>
          <w:sz w:val="20"/>
          <w:szCs w:val="20"/>
        </w:rPr>
        <w:t>, on an annual</w:t>
      </w:r>
      <w:r w:rsidR="00840437" w:rsidRPr="007A4810">
        <w:rPr>
          <w:rFonts w:ascii="Arial" w:hAnsi="Arial" w:cs="Arial"/>
          <w:sz w:val="20"/>
          <w:szCs w:val="20"/>
        </w:rPr>
        <w:t xml:space="preserve"> basis</w:t>
      </w:r>
      <w:r w:rsidR="003C7B34" w:rsidRPr="007A4810">
        <w:rPr>
          <w:rFonts w:ascii="Arial" w:hAnsi="Arial" w:cs="Arial"/>
          <w:sz w:val="20"/>
          <w:szCs w:val="20"/>
        </w:rPr>
        <w:t>,</w:t>
      </w:r>
      <w:r w:rsidRPr="007A4810">
        <w:rPr>
          <w:rFonts w:ascii="Arial" w:hAnsi="Arial" w:cs="Arial"/>
          <w:sz w:val="20"/>
          <w:szCs w:val="20"/>
        </w:rPr>
        <w:t xml:space="preserve"> review the investment </w:t>
      </w:r>
      <w:r w:rsidR="003C6602" w:rsidRPr="007A4810">
        <w:rPr>
          <w:rFonts w:ascii="Arial" w:hAnsi="Arial" w:cs="Arial"/>
          <w:sz w:val="20"/>
          <w:szCs w:val="20"/>
        </w:rPr>
        <w:t xml:space="preserve">portfolio </w:t>
      </w:r>
      <w:r w:rsidRPr="007A4810">
        <w:rPr>
          <w:rFonts w:ascii="Arial" w:hAnsi="Arial" w:cs="Arial"/>
          <w:sz w:val="20"/>
          <w:szCs w:val="20"/>
        </w:rPr>
        <w:t>with the fund managers</w:t>
      </w:r>
      <w:r w:rsidR="003C7B34" w:rsidRPr="007A4810">
        <w:rPr>
          <w:rFonts w:ascii="Arial" w:hAnsi="Arial" w:cs="Arial"/>
          <w:sz w:val="20"/>
          <w:szCs w:val="20"/>
        </w:rPr>
        <w:t>,</w:t>
      </w:r>
      <w:r w:rsidRPr="007A4810">
        <w:rPr>
          <w:rFonts w:ascii="Arial" w:hAnsi="Arial" w:cs="Arial"/>
          <w:sz w:val="20"/>
          <w:szCs w:val="20"/>
        </w:rPr>
        <w:t xml:space="preserve"> to ascertain if alternative investments</w:t>
      </w:r>
      <w:r w:rsidR="003C7B34" w:rsidRPr="007A4810">
        <w:rPr>
          <w:rFonts w:ascii="Arial" w:hAnsi="Arial" w:cs="Arial"/>
          <w:sz w:val="20"/>
          <w:szCs w:val="20"/>
        </w:rPr>
        <w:t>,</w:t>
      </w:r>
      <w:r w:rsidRPr="007A4810">
        <w:rPr>
          <w:rFonts w:ascii="Arial" w:hAnsi="Arial" w:cs="Arial"/>
          <w:sz w:val="20"/>
          <w:szCs w:val="20"/>
        </w:rPr>
        <w:t xml:space="preserve"> which exclude such companies</w:t>
      </w:r>
      <w:r w:rsidR="003C7B34" w:rsidRPr="007A4810">
        <w:rPr>
          <w:rFonts w:ascii="Arial" w:hAnsi="Arial" w:cs="Arial"/>
          <w:sz w:val="20"/>
          <w:szCs w:val="20"/>
        </w:rPr>
        <w:t>,</w:t>
      </w:r>
      <w:r w:rsidRPr="007A4810">
        <w:rPr>
          <w:rFonts w:ascii="Arial" w:hAnsi="Arial" w:cs="Arial"/>
          <w:sz w:val="20"/>
          <w:szCs w:val="20"/>
        </w:rPr>
        <w:t xml:space="preserve"> can be used without being materially detrimental to expected investment returns.</w:t>
      </w:r>
    </w:p>
    <w:p w14:paraId="4E9D44A8" w14:textId="77777777" w:rsidR="00A92975" w:rsidRPr="007A4810" w:rsidRDefault="00A92975" w:rsidP="001B4EC3">
      <w:pPr>
        <w:ind w:left="720" w:hanging="720"/>
        <w:rPr>
          <w:rFonts w:ascii="Arial" w:hAnsi="Arial" w:cs="Arial"/>
          <w:sz w:val="20"/>
          <w:szCs w:val="20"/>
        </w:rPr>
      </w:pPr>
    </w:p>
    <w:p w14:paraId="173A47AC" w14:textId="77777777" w:rsidR="001B4EC3" w:rsidRPr="007A4810" w:rsidRDefault="008817A1" w:rsidP="001B4EC3">
      <w:pPr>
        <w:ind w:left="720" w:hanging="720"/>
        <w:rPr>
          <w:rFonts w:ascii="Arial" w:hAnsi="Arial" w:cs="Arial"/>
          <w:b/>
          <w:sz w:val="20"/>
          <w:szCs w:val="20"/>
        </w:rPr>
      </w:pPr>
      <w:r w:rsidRPr="007A4810">
        <w:rPr>
          <w:rFonts w:ascii="Arial" w:hAnsi="Arial" w:cs="Arial"/>
          <w:b/>
          <w:sz w:val="20"/>
          <w:szCs w:val="20"/>
        </w:rPr>
        <w:t>4</w:t>
      </w:r>
      <w:r w:rsidR="0071603E" w:rsidRPr="007A4810">
        <w:rPr>
          <w:rFonts w:ascii="Arial" w:hAnsi="Arial" w:cs="Arial"/>
          <w:b/>
          <w:sz w:val="20"/>
          <w:szCs w:val="20"/>
        </w:rPr>
        <w:t>.3</w:t>
      </w:r>
      <w:r w:rsidR="001B4EC3" w:rsidRPr="007A4810">
        <w:rPr>
          <w:rFonts w:ascii="Arial" w:hAnsi="Arial" w:cs="Arial"/>
          <w:b/>
          <w:sz w:val="20"/>
          <w:szCs w:val="20"/>
        </w:rPr>
        <w:tab/>
        <w:t>Investment Decisions</w:t>
      </w:r>
    </w:p>
    <w:p w14:paraId="31DC4962" w14:textId="77777777" w:rsidR="001B4EC3" w:rsidRPr="007A4810" w:rsidRDefault="001B4EC3" w:rsidP="001B4EC3">
      <w:pPr>
        <w:ind w:left="720" w:hanging="720"/>
        <w:rPr>
          <w:rFonts w:ascii="Arial" w:hAnsi="Arial" w:cs="Arial"/>
          <w:sz w:val="20"/>
          <w:szCs w:val="20"/>
        </w:rPr>
      </w:pPr>
    </w:p>
    <w:p w14:paraId="06B3405F" w14:textId="73A05EAD" w:rsidR="001B4EC3" w:rsidRPr="00DC5F6F" w:rsidRDefault="001B4EC3" w:rsidP="008817A1">
      <w:pPr>
        <w:ind w:left="720" w:hanging="720"/>
        <w:jc w:val="both"/>
        <w:rPr>
          <w:rFonts w:ascii="Arial" w:hAnsi="Arial" w:cs="Arial"/>
          <w:sz w:val="20"/>
          <w:szCs w:val="20"/>
        </w:rPr>
      </w:pPr>
      <w:r w:rsidRPr="007A4810">
        <w:rPr>
          <w:rFonts w:ascii="Arial" w:hAnsi="Arial" w:cs="Arial"/>
          <w:sz w:val="20"/>
          <w:szCs w:val="20"/>
        </w:rPr>
        <w:tab/>
      </w:r>
      <w:r w:rsidR="00A92975" w:rsidRPr="007A4810">
        <w:rPr>
          <w:rFonts w:ascii="Arial" w:hAnsi="Arial" w:cs="Arial"/>
          <w:sz w:val="20"/>
          <w:szCs w:val="20"/>
        </w:rPr>
        <w:t>The University</w:t>
      </w:r>
      <w:r w:rsidRPr="007A4810">
        <w:rPr>
          <w:rFonts w:ascii="Arial" w:hAnsi="Arial" w:cs="Arial"/>
          <w:sz w:val="20"/>
          <w:szCs w:val="20"/>
        </w:rPr>
        <w:t xml:space="preserve"> delegates the selection of investments held to its fund managers</w:t>
      </w:r>
      <w:r w:rsidR="003C6602" w:rsidRPr="007A4810">
        <w:rPr>
          <w:rFonts w:ascii="Arial" w:hAnsi="Arial" w:cs="Arial"/>
          <w:sz w:val="20"/>
          <w:szCs w:val="20"/>
        </w:rPr>
        <w:t>,</w:t>
      </w:r>
      <w:r w:rsidRPr="007A4810">
        <w:rPr>
          <w:rFonts w:ascii="Arial" w:hAnsi="Arial" w:cs="Arial"/>
          <w:sz w:val="20"/>
          <w:szCs w:val="20"/>
        </w:rPr>
        <w:t xml:space="preserve"> and does not impose </w:t>
      </w:r>
      <w:r w:rsidR="00A92975" w:rsidRPr="007A4810">
        <w:rPr>
          <w:rFonts w:ascii="Arial" w:hAnsi="Arial" w:cs="Arial"/>
          <w:sz w:val="20"/>
          <w:szCs w:val="20"/>
        </w:rPr>
        <w:t xml:space="preserve">explicit </w:t>
      </w:r>
      <w:r w:rsidRPr="007A4810">
        <w:rPr>
          <w:rFonts w:ascii="Arial" w:hAnsi="Arial" w:cs="Arial"/>
          <w:sz w:val="20"/>
          <w:szCs w:val="20"/>
        </w:rPr>
        <w:t xml:space="preserve">investment restrictions </w:t>
      </w:r>
      <w:r w:rsidR="003C7B34" w:rsidRPr="007A4810">
        <w:rPr>
          <w:rFonts w:ascii="Arial" w:hAnsi="Arial" w:cs="Arial"/>
          <w:sz w:val="20"/>
          <w:szCs w:val="20"/>
        </w:rPr>
        <w:t>regarding</w:t>
      </w:r>
      <w:r w:rsidRPr="007A4810">
        <w:rPr>
          <w:rFonts w:ascii="Arial" w:hAnsi="Arial" w:cs="Arial"/>
          <w:sz w:val="20"/>
          <w:szCs w:val="20"/>
        </w:rPr>
        <w:t xml:space="preserve"> social, ethical and environmental issues</w:t>
      </w:r>
      <w:r w:rsidR="003C6602" w:rsidRPr="007A4810">
        <w:rPr>
          <w:rFonts w:ascii="Arial" w:hAnsi="Arial" w:cs="Arial"/>
          <w:sz w:val="20"/>
          <w:szCs w:val="20"/>
        </w:rPr>
        <w:t>.  H</w:t>
      </w:r>
      <w:r w:rsidR="00A92975" w:rsidRPr="007A4810">
        <w:rPr>
          <w:rFonts w:ascii="Arial" w:hAnsi="Arial" w:cs="Arial"/>
          <w:sz w:val="20"/>
          <w:szCs w:val="20"/>
        </w:rPr>
        <w:t>owever,</w:t>
      </w:r>
      <w:r w:rsidR="00860A3E">
        <w:rPr>
          <w:rFonts w:ascii="Arial" w:hAnsi="Arial" w:cs="Arial"/>
          <w:sz w:val="20"/>
          <w:szCs w:val="20"/>
        </w:rPr>
        <w:t xml:space="preserve"> </w:t>
      </w:r>
      <w:r w:rsidR="006B5C89" w:rsidRPr="007A4810">
        <w:rPr>
          <w:rFonts w:ascii="Arial" w:hAnsi="Arial" w:cs="Arial"/>
          <w:sz w:val="20"/>
          <w:szCs w:val="20"/>
        </w:rPr>
        <w:t>t</w:t>
      </w:r>
      <w:r w:rsidR="00A92975" w:rsidRPr="007A4810">
        <w:rPr>
          <w:rFonts w:ascii="Arial" w:hAnsi="Arial" w:cs="Arial"/>
          <w:sz w:val="20"/>
          <w:szCs w:val="20"/>
        </w:rPr>
        <w:t>he University</w:t>
      </w:r>
      <w:r w:rsidRPr="007A4810">
        <w:rPr>
          <w:rFonts w:ascii="Arial" w:hAnsi="Arial" w:cs="Arial"/>
          <w:sz w:val="20"/>
          <w:szCs w:val="20"/>
        </w:rPr>
        <w:t xml:space="preserve"> has instructed its active fund managers to take account of ESG considerations</w:t>
      </w:r>
      <w:r w:rsidR="003C6602" w:rsidRPr="00DC5F6F">
        <w:rPr>
          <w:rFonts w:ascii="Arial" w:hAnsi="Arial" w:cs="Arial"/>
          <w:sz w:val="20"/>
          <w:szCs w:val="20"/>
        </w:rPr>
        <w:t>,</w:t>
      </w:r>
      <w:r w:rsidR="00860A3E" w:rsidRPr="00DC5F6F">
        <w:rPr>
          <w:rFonts w:ascii="Arial" w:hAnsi="Arial" w:cs="Arial"/>
          <w:sz w:val="20"/>
          <w:szCs w:val="20"/>
        </w:rPr>
        <w:t xml:space="preserve"> and provided that the effect is not materially detrimental to expected investment returns, the University will seek to transfer its indirect investment into funds which exclude companies involved in the extraction and production of fossil fuels, by 2025.</w:t>
      </w:r>
    </w:p>
    <w:p w14:paraId="25B9384E" w14:textId="77777777" w:rsidR="001B4EC3" w:rsidRPr="007A4810" w:rsidRDefault="001B4EC3" w:rsidP="001B4EC3">
      <w:pPr>
        <w:ind w:left="720" w:hanging="720"/>
        <w:rPr>
          <w:rFonts w:ascii="Arial" w:hAnsi="Arial" w:cs="Arial"/>
          <w:sz w:val="20"/>
          <w:szCs w:val="20"/>
        </w:rPr>
      </w:pPr>
    </w:p>
    <w:p w14:paraId="4DB1E03A" w14:textId="719493E8" w:rsidR="001B4EC3" w:rsidRPr="007A4810" w:rsidRDefault="001B4EC3" w:rsidP="008817A1">
      <w:pPr>
        <w:ind w:left="720" w:hanging="720"/>
        <w:jc w:val="both"/>
        <w:rPr>
          <w:rFonts w:ascii="Arial" w:hAnsi="Arial" w:cs="Arial"/>
          <w:sz w:val="20"/>
          <w:szCs w:val="20"/>
        </w:rPr>
      </w:pPr>
      <w:r w:rsidRPr="007A4810">
        <w:rPr>
          <w:rFonts w:ascii="Arial" w:hAnsi="Arial" w:cs="Arial"/>
          <w:sz w:val="20"/>
          <w:szCs w:val="20"/>
        </w:rPr>
        <w:tab/>
      </w:r>
      <w:r w:rsidR="006B5C89" w:rsidRPr="007A4810">
        <w:rPr>
          <w:rFonts w:ascii="Arial" w:hAnsi="Arial" w:cs="Arial"/>
          <w:sz w:val="20"/>
          <w:szCs w:val="20"/>
        </w:rPr>
        <w:t>The University</w:t>
      </w:r>
      <w:r w:rsidRPr="007A4810">
        <w:rPr>
          <w:rFonts w:ascii="Arial" w:hAnsi="Arial" w:cs="Arial"/>
          <w:sz w:val="20"/>
          <w:szCs w:val="20"/>
        </w:rPr>
        <w:t xml:space="preserve"> will ensure that the fund managers it appoints are capable of taking ESG issues into consideration when making investment choices, it will monitor the managers’ action in this area and will work with fund managers and the investment sector to ensure sufficient data is available to aid effective decision making.</w:t>
      </w:r>
    </w:p>
    <w:p w14:paraId="3BF3ED62" w14:textId="77777777" w:rsidR="00831F8C" w:rsidRPr="007A4810" w:rsidRDefault="00831F8C" w:rsidP="008817A1">
      <w:pPr>
        <w:ind w:left="720" w:hanging="720"/>
        <w:jc w:val="both"/>
        <w:rPr>
          <w:rFonts w:ascii="Arial" w:hAnsi="Arial" w:cs="Arial"/>
          <w:sz w:val="20"/>
          <w:szCs w:val="20"/>
        </w:rPr>
      </w:pPr>
    </w:p>
    <w:p w14:paraId="1ADE6077" w14:textId="77777777" w:rsidR="008931F8" w:rsidRPr="007A4810" w:rsidRDefault="008931F8" w:rsidP="00FC2F40">
      <w:pPr>
        <w:ind w:left="720" w:hanging="720"/>
        <w:rPr>
          <w:rFonts w:ascii="Arial" w:hAnsi="Arial" w:cs="Arial"/>
          <w:b/>
          <w:sz w:val="20"/>
          <w:szCs w:val="20"/>
        </w:rPr>
      </w:pPr>
    </w:p>
    <w:p w14:paraId="04B0A936" w14:textId="77777777" w:rsidR="00252267" w:rsidRPr="007A4810" w:rsidRDefault="008817A1" w:rsidP="00FC2F40">
      <w:pPr>
        <w:ind w:left="720" w:hanging="720"/>
        <w:rPr>
          <w:rFonts w:ascii="Arial" w:hAnsi="Arial" w:cs="Arial"/>
          <w:sz w:val="20"/>
          <w:szCs w:val="20"/>
        </w:rPr>
      </w:pPr>
      <w:r w:rsidRPr="007A4810">
        <w:rPr>
          <w:rFonts w:ascii="Arial" w:hAnsi="Arial" w:cs="Arial"/>
          <w:b/>
          <w:sz w:val="20"/>
          <w:szCs w:val="20"/>
        </w:rPr>
        <w:t>5</w:t>
      </w:r>
      <w:r w:rsidR="00252267" w:rsidRPr="007A4810">
        <w:rPr>
          <w:rFonts w:ascii="Arial" w:hAnsi="Arial" w:cs="Arial"/>
          <w:b/>
          <w:sz w:val="20"/>
          <w:szCs w:val="20"/>
        </w:rPr>
        <w:t>.</w:t>
      </w:r>
      <w:r w:rsidR="00252267" w:rsidRPr="007A4810">
        <w:rPr>
          <w:rFonts w:ascii="Arial" w:hAnsi="Arial" w:cs="Arial"/>
          <w:b/>
          <w:sz w:val="20"/>
          <w:szCs w:val="20"/>
        </w:rPr>
        <w:tab/>
      </w:r>
      <w:r w:rsidR="00252267" w:rsidRPr="007A4810">
        <w:rPr>
          <w:rFonts w:ascii="Arial" w:hAnsi="Arial" w:cs="Arial"/>
          <w:b/>
          <w:sz w:val="20"/>
          <w:szCs w:val="20"/>
          <w:u w:val="single"/>
        </w:rPr>
        <w:t>Compliance</w:t>
      </w:r>
    </w:p>
    <w:p w14:paraId="085830D9" w14:textId="77777777" w:rsidR="00252267" w:rsidRPr="007A4810" w:rsidRDefault="00252267" w:rsidP="00FC2F40">
      <w:pPr>
        <w:ind w:left="720" w:hanging="720"/>
        <w:rPr>
          <w:rFonts w:ascii="Arial" w:hAnsi="Arial" w:cs="Arial"/>
          <w:sz w:val="20"/>
          <w:szCs w:val="20"/>
        </w:rPr>
      </w:pPr>
    </w:p>
    <w:p w14:paraId="3A569919" w14:textId="77777777" w:rsidR="00252267" w:rsidRDefault="008817A1" w:rsidP="00FC2F40">
      <w:pPr>
        <w:ind w:left="720" w:hanging="720"/>
        <w:rPr>
          <w:rFonts w:ascii="Arial" w:hAnsi="Arial" w:cs="Arial"/>
          <w:sz w:val="20"/>
          <w:szCs w:val="20"/>
        </w:rPr>
      </w:pPr>
      <w:r>
        <w:rPr>
          <w:rFonts w:ascii="Arial" w:hAnsi="Arial" w:cs="Arial"/>
          <w:b/>
          <w:sz w:val="20"/>
          <w:szCs w:val="20"/>
        </w:rPr>
        <w:t>5</w:t>
      </w:r>
      <w:r w:rsidR="00252267">
        <w:rPr>
          <w:rFonts w:ascii="Arial" w:hAnsi="Arial" w:cs="Arial"/>
          <w:b/>
          <w:sz w:val="20"/>
          <w:szCs w:val="20"/>
        </w:rPr>
        <w:t>.1</w:t>
      </w:r>
      <w:r w:rsidR="00252267">
        <w:rPr>
          <w:rFonts w:ascii="Arial" w:hAnsi="Arial" w:cs="Arial"/>
          <w:b/>
          <w:sz w:val="20"/>
          <w:szCs w:val="20"/>
        </w:rPr>
        <w:tab/>
        <w:t>Frequency of Review</w:t>
      </w:r>
    </w:p>
    <w:p w14:paraId="273C2AA0" w14:textId="77777777" w:rsidR="00252267" w:rsidRDefault="00252267" w:rsidP="00FC2F40">
      <w:pPr>
        <w:ind w:left="720" w:hanging="720"/>
        <w:rPr>
          <w:rFonts w:ascii="Arial" w:hAnsi="Arial" w:cs="Arial"/>
          <w:sz w:val="20"/>
          <w:szCs w:val="20"/>
        </w:rPr>
      </w:pPr>
    </w:p>
    <w:p w14:paraId="5F3E5FB1" w14:textId="25C7EFDA" w:rsidR="007A4810" w:rsidRDefault="00252267" w:rsidP="00897C34">
      <w:pPr>
        <w:ind w:left="720" w:hanging="720"/>
        <w:jc w:val="both"/>
        <w:rPr>
          <w:rFonts w:ascii="Arial" w:hAnsi="Arial" w:cs="Arial"/>
          <w:sz w:val="20"/>
          <w:szCs w:val="20"/>
        </w:rPr>
      </w:pPr>
      <w:r>
        <w:rPr>
          <w:rFonts w:ascii="Arial" w:hAnsi="Arial" w:cs="Arial"/>
          <w:sz w:val="20"/>
          <w:szCs w:val="20"/>
        </w:rPr>
        <w:tab/>
      </w:r>
      <w:r w:rsidR="006B5C89">
        <w:rPr>
          <w:rFonts w:ascii="Arial" w:hAnsi="Arial" w:cs="Arial"/>
          <w:sz w:val="20"/>
          <w:szCs w:val="20"/>
        </w:rPr>
        <w:t xml:space="preserve">This policy will be reviewed on an annual </w:t>
      </w:r>
      <w:r w:rsidR="003C7B34">
        <w:rPr>
          <w:rFonts w:ascii="Arial" w:hAnsi="Arial" w:cs="Arial"/>
          <w:sz w:val="20"/>
          <w:szCs w:val="20"/>
        </w:rPr>
        <w:t>basis.  Any recommendations for</w:t>
      </w:r>
      <w:r w:rsidR="006B5C89">
        <w:rPr>
          <w:rFonts w:ascii="Arial" w:hAnsi="Arial" w:cs="Arial"/>
          <w:sz w:val="20"/>
          <w:szCs w:val="20"/>
        </w:rPr>
        <w:t xml:space="preserve"> change will be considered by PFC</w:t>
      </w:r>
      <w:r w:rsidR="003C7B34">
        <w:rPr>
          <w:rFonts w:ascii="Arial" w:hAnsi="Arial" w:cs="Arial"/>
          <w:sz w:val="20"/>
          <w:szCs w:val="20"/>
        </w:rPr>
        <w:t>,</w:t>
      </w:r>
      <w:r w:rsidR="006B5C89">
        <w:rPr>
          <w:rFonts w:ascii="Arial" w:hAnsi="Arial" w:cs="Arial"/>
          <w:sz w:val="20"/>
          <w:szCs w:val="20"/>
        </w:rPr>
        <w:t xml:space="preserve"> whose </w:t>
      </w:r>
      <w:r w:rsidR="003C6602">
        <w:rPr>
          <w:rFonts w:ascii="Arial" w:hAnsi="Arial" w:cs="Arial"/>
          <w:sz w:val="20"/>
          <w:szCs w:val="20"/>
        </w:rPr>
        <w:t>membership</w:t>
      </w:r>
      <w:r w:rsidR="003C7B34">
        <w:rPr>
          <w:rFonts w:ascii="Arial" w:hAnsi="Arial" w:cs="Arial"/>
          <w:sz w:val="20"/>
          <w:szCs w:val="20"/>
        </w:rPr>
        <w:t xml:space="preserve"> reflects</w:t>
      </w:r>
      <w:r w:rsidR="006B5C89">
        <w:rPr>
          <w:rFonts w:ascii="Arial" w:hAnsi="Arial" w:cs="Arial"/>
          <w:sz w:val="20"/>
          <w:szCs w:val="20"/>
        </w:rPr>
        <w:t xml:space="preserve"> key stakeholders.</w:t>
      </w:r>
    </w:p>
    <w:p w14:paraId="76E9E53C" w14:textId="77777777" w:rsidR="007A4810" w:rsidRDefault="007A4810" w:rsidP="00FC2F40">
      <w:pPr>
        <w:ind w:left="720" w:hanging="720"/>
        <w:rPr>
          <w:rFonts w:ascii="Arial" w:hAnsi="Arial" w:cs="Arial"/>
          <w:sz w:val="20"/>
          <w:szCs w:val="20"/>
        </w:rPr>
      </w:pPr>
    </w:p>
    <w:p w14:paraId="76A0B849" w14:textId="77777777" w:rsidR="00252267" w:rsidRDefault="008817A1" w:rsidP="00FC2F40">
      <w:pPr>
        <w:ind w:left="720" w:hanging="720"/>
        <w:rPr>
          <w:rFonts w:ascii="Arial" w:hAnsi="Arial" w:cs="Arial"/>
          <w:sz w:val="20"/>
          <w:szCs w:val="20"/>
        </w:rPr>
      </w:pPr>
      <w:r>
        <w:rPr>
          <w:rFonts w:ascii="Arial" w:hAnsi="Arial" w:cs="Arial"/>
          <w:b/>
          <w:sz w:val="20"/>
          <w:szCs w:val="20"/>
        </w:rPr>
        <w:t>5</w:t>
      </w:r>
      <w:r w:rsidR="00252267">
        <w:rPr>
          <w:rFonts w:ascii="Arial" w:hAnsi="Arial" w:cs="Arial"/>
          <w:b/>
          <w:sz w:val="20"/>
          <w:szCs w:val="20"/>
        </w:rPr>
        <w:t>.2</w:t>
      </w:r>
      <w:r w:rsidR="00252267">
        <w:rPr>
          <w:rFonts w:ascii="Arial" w:hAnsi="Arial" w:cs="Arial"/>
          <w:b/>
          <w:sz w:val="20"/>
          <w:szCs w:val="20"/>
        </w:rPr>
        <w:tab/>
        <w:t>Performance Measurement</w:t>
      </w:r>
    </w:p>
    <w:p w14:paraId="0ECABC23" w14:textId="77777777" w:rsidR="00252267" w:rsidRDefault="00252267" w:rsidP="00FC2F40">
      <w:pPr>
        <w:ind w:left="720" w:hanging="720"/>
        <w:rPr>
          <w:rFonts w:ascii="Arial" w:hAnsi="Arial" w:cs="Arial"/>
          <w:sz w:val="20"/>
          <w:szCs w:val="20"/>
        </w:rPr>
      </w:pPr>
    </w:p>
    <w:p w14:paraId="12A048AF" w14:textId="0A2BA009" w:rsidR="00252267" w:rsidRDefault="00191631" w:rsidP="008817A1">
      <w:pPr>
        <w:ind w:left="720" w:hanging="720"/>
        <w:jc w:val="both"/>
        <w:rPr>
          <w:rFonts w:ascii="Arial" w:hAnsi="Arial" w:cs="Arial"/>
          <w:sz w:val="20"/>
          <w:szCs w:val="20"/>
        </w:rPr>
      </w:pPr>
      <w:r>
        <w:rPr>
          <w:rFonts w:ascii="Arial" w:hAnsi="Arial" w:cs="Arial"/>
          <w:sz w:val="20"/>
          <w:szCs w:val="20"/>
        </w:rPr>
        <w:tab/>
      </w:r>
      <w:r w:rsidR="003C7B34">
        <w:rPr>
          <w:rFonts w:ascii="Arial" w:hAnsi="Arial" w:cs="Arial"/>
          <w:sz w:val="20"/>
          <w:szCs w:val="20"/>
        </w:rPr>
        <w:t>On a quarterly basis the University</w:t>
      </w:r>
      <w:r>
        <w:rPr>
          <w:rFonts w:ascii="Arial" w:hAnsi="Arial" w:cs="Arial"/>
          <w:sz w:val="20"/>
          <w:szCs w:val="20"/>
        </w:rPr>
        <w:t xml:space="preserve"> monitors the performance of the combined assets and the performance of each manager’s portfolio against their target benchmark.  The </w:t>
      </w:r>
      <w:r w:rsidR="003C7B34">
        <w:rPr>
          <w:rFonts w:ascii="Arial" w:hAnsi="Arial" w:cs="Arial"/>
          <w:sz w:val="20"/>
          <w:szCs w:val="20"/>
        </w:rPr>
        <w:t>University</w:t>
      </w:r>
      <w:r>
        <w:rPr>
          <w:rFonts w:ascii="Arial" w:hAnsi="Arial" w:cs="Arial"/>
          <w:sz w:val="20"/>
          <w:szCs w:val="20"/>
        </w:rPr>
        <w:t xml:space="preserve"> also reviews each manager’s long-term investment performance and the appropriateness of the Fund’s benchmarks.</w:t>
      </w:r>
    </w:p>
    <w:p w14:paraId="2A111D5E" w14:textId="77777777" w:rsidR="00191631" w:rsidRDefault="00191631" w:rsidP="00FC2F40">
      <w:pPr>
        <w:ind w:left="720" w:hanging="720"/>
        <w:rPr>
          <w:rFonts w:ascii="Arial" w:hAnsi="Arial" w:cs="Arial"/>
          <w:sz w:val="20"/>
          <w:szCs w:val="20"/>
        </w:rPr>
      </w:pPr>
    </w:p>
    <w:p w14:paraId="6DA07709" w14:textId="77777777" w:rsidR="006B5C89" w:rsidRDefault="006B5C89" w:rsidP="006B5C89">
      <w:pPr>
        <w:ind w:left="720" w:hanging="720"/>
        <w:jc w:val="both"/>
        <w:rPr>
          <w:rFonts w:ascii="Arial" w:hAnsi="Arial" w:cs="Arial"/>
          <w:sz w:val="20"/>
          <w:szCs w:val="20"/>
        </w:rPr>
      </w:pPr>
      <w:r>
        <w:rPr>
          <w:rFonts w:ascii="Arial" w:hAnsi="Arial" w:cs="Arial"/>
          <w:b/>
          <w:sz w:val="20"/>
          <w:szCs w:val="20"/>
        </w:rPr>
        <w:t>5.3</w:t>
      </w:r>
      <w:r>
        <w:rPr>
          <w:rFonts w:ascii="Arial" w:hAnsi="Arial" w:cs="Arial"/>
          <w:b/>
          <w:sz w:val="20"/>
          <w:szCs w:val="20"/>
        </w:rPr>
        <w:tab/>
        <w:t>Reporting</w:t>
      </w:r>
    </w:p>
    <w:p w14:paraId="400396F2" w14:textId="77777777" w:rsidR="006B5C89" w:rsidRDefault="006B5C89" w:rsidP="006B5C89">
      <w:pPr>
        <w:ind w:left="720" w:hanging="720"/>
        <w:jc w:val="both"/>
        <w:rPr>
          <w:rFonts w:ascii="Arial" w:hAnsi="Arial" w:cs="Arial"/>
          <w:sz w:val="20"/>
          <w:szCs w:val="20"/>
        </w:rPr>
      </w:pPr>
    </w:p>
    <w:p w14:paraId="64C2935C" w14:textId="77777777" w:rsidR="006B5C89" w:rsidRPr="00894C91" w:rsidRDefault="006B5C89" w:rsidP="00AA0E7E">
      <w:pPr>
        <w:ind w:left="720" w:hanging="720"/>
        <w:jc w:val="both"/>
        <w:rPr>
          <w:rFonts w:ascii="Arial" w:hAnsi="Arial" w:cs="Arial"/>
          <w:sz w:val="20"/>
          <w:szCs w:val="20"/>
        </w:rPr>
      </w:pPr>
      <w:r>
        <w:rPr>
          <w:rFonts w:ascii="Arial" w:hAnsi="Arial" w:cs="Arial"/>
          <w:sz w:val="20"/>
          <w:szCs w:val="20"/>
        </w:rPr>
        <w:tab/>
        <w:t>The Investment Committee will provide an annual report to Senate relating to the performance of the investments, the integration of ESG issues into investment decision-making and actions taken by the fund managers to implement the University’s commitment to responsible investment.</w:t>
      </w:r>
    </w:p>
    <w:p w14:paraId="179C1B46" w14:textId="77777777" w:rsidR="00191631" w:rsidRPr="00252267" w:rsidRDefault="00191631" w:rsidP="00FC2F40">
      <w:pPr>
        <w:ind w:left="720" w:hanging="720"/>
        <w:rPr>
          <w:rFonts w:ascii="Arial" w:hAnsi="Arial" w:cs="Arial"/>
          <w:sz w:val="20"/>
          <w:szCs w:val="20"/>
        </w:rPr>
      </w:pPr>
    </w:p>
    <w:sectPr w:rsidR="00191631" w:rsidRPr="00252267" w:rsidSect="00897C34">
      <w:headerReference w:type="default" r:id="rId8"/>
      <w:footerReference w:type="default" r:id="rId9"/>
      <w:headerReference w:type="first" r:id="rId10"/>
      <w:pgSz w:w="11906" w:h="16838"/>
      <w:pgMar w:top="1134"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58CF0" w14:textId="77777777" w:rsidR="00927495" w:rsidRDefault="00927495" w:rsidP="009648B4">
      <w:r>
        <w:separator/>
      </w:r>
    </w:p>
  </w:endnote>
  <w:endnote w:type="continuationSeparator" w:id="0">
    <w:p w14:paraId="76E941F6" w14:textId="77777777" w:rsidR="00927495" w:rsidRDefault="00927495" w:rsidP="00964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842797"/>
      <w:docPartObj>
        <w:docPartGallery w:val="Page Numbers (Bottom of Page)"/>
        <w:docPartUnique/>
      </w:docPartObj>
    </w:sdtPr>
    <w:sdtEndPr>
      <w:rPr>
        <w:noProof/>
      </w:rPr>
    </w:sdtEndPr>
    <w:sdtContent>
      <w:p w14:paraId="7E980A62" w14:textId="77777777" w:rsidR="009648B4" w:rsidRDefault="009648B4">
        <w:pPr>
          <w:pStyle w:val="Footer"/>
          <w:jc w:val="center"/>
        </w:pPr>
        <w:r>
          <w:fldChar w:fldCharType="begin"/>
        </w:r>
        <w:r>
          <w:instrText xml:space="preserve"> PAGE   \* MERGEFORMAT </w:instrText>
        </w:r>
        <w:r>
          <w:fldChar w:fldCharType="separate"/>
        </w:r>
        <w:r w:rsidR="004D1137">
          <w:rPr>
            <w:noProof/>
          </w:rPr>
          <w:t>5</w:t>
        </w:r>
        <w:r>
          <w:rPr>
            <w:noProof/>
          </w:rPr>
          <w:fldChar w:fldCharType="end"/>
        </w:r>
      </w:p>
    </w:sdtContent>
  </w:sdt>
  <w:p w14:paraId="29D34511" w14:textId="77777777" w:rsidR="009648B4" w:rsidRDefault="009648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EE2ADB" w14:textId="77777777" w:rsidR="00927495" w:rsidRDefault="00927495" w:rsidP="009648B4">
      <w:r>
        <w:separator/>
      </w:r>
    </w:p>
  </w:footnote>
  <w:footnote w:type="continuationSeparator" w:id="0">
    <w:p w14:paraId="2E390932" w14:textId="77777777" w:rsidR="00927495" w:rsidRDefault="00927495" w:rsidP="009648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2A9FE" w14:textId="77777777" w:rsidR="00B50830" w:rsidRDefault="00B50830">
    <w:pPr>
      <w:pStyle w:val="Header"/>
    </w:pPr>
  </w:p>
  <w:p w14:paraId="0A303F88" w14:textId="77777777" w:rsidR="00373070" w:rsidRDefault="003730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0270A" w14:textId="70330C30" w:rsidR="00960A2B" w:rsidRPr="00960A2B" w:rsidRDefault="00960A2B">
    <w:pPr>
      <w:pStyle w:val="Header"/>
      <w:rPr>
        <w:rFonts w:ascii="Arial" w:hAnsi="Arial" w:cs="Arial"/>
      </w:rPr>
    </w:pPr>
    <w:r>
      <w:tab/>
    </w:r>
    <w:r>
      <w:tab/>
    </w:r>
  </w:p>
  <w:p w14:paraId="56F45B4A" w14:textId="54744461" w:rsidR="007561E9" w:rsidRDefault="007561E9">
    <w:pPr>
      <w:pStyle w:val="Header"/>
      <w:rPr>
        <w:rFonts w:ascii="Arial"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D14C5A"/>
    <w:multiLevelType w:val="hybridMultilevel"/>
    <w:tmpl w:val="E6C6BF0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32662130"/>
    <w:multiLevelType w:val="hybridMultilevel"/>
    <w:tmpl w:val="6F94E990"/>
    <w:lvl w:ilvl="0" w:tplc="0CC65752">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327C6B4B"/>
    <w:multiLevelType w:val="hybridMultilevel"/>
    <w:tmpl w:val="27A8DE44"/>
    <w:lvl w:ilvl="0" w:tplc="2B7A5FF8">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FC40B50"/>
    <w:multiLevelType w:val="hybridMultilevel"/>
    <w:tmpl w:val="494E9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BE96237"/>
    <w:multiLevelType w:val="hybridMultilevel"/>
    <w:tmpl w:val="623869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521E0D67"/>
    <w:multiLevelType w:val="hybridMultilevel"/>
    <w:tmpl w:val="B1BAB9F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5A386549"/>
    <w:multiLevelType w:val="hybridMultilevel"/>
    <w:tmpl w:val="F2FEC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C6369B6"/>
    <w:multiLevelType w:val="hybridMultilevel"/>
    <w:tmpl w:val="D3C4925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3"/>
  </w:num>
  <w:num w:numId="4">
    <w:abstractNumId w:val="6"/>
  </w:num>
  <w:num w:numId="5">
    <w:abstractNumId w:val="0"/>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EB5"/>
    <w:rsid w:val="00025062"/>
    <w:rsid w:val="000A2181"/>
    <w:rsid w:val="000B006F"/>
    <w:rsid w:val="000C745A"/>
    <w:rsid w:val="000D7A69"/>
    <w:rsid w:val="00116B11"/>
    <w:rsid w:val="0015082B"/>
    <w:rsid w:val="00153CC9"/>
    <w:rsid w:val="00191631"/>
    <w:rsid w:val="001B1EB5"/>
    <w:rsid w:val="001B4EC3"/>
    <w:rsid w:val="001F380B"/>
    <w:rsid w:val="00212BCB"/>
    <w:rsid w:val="00252267"/>
    <w:rsid w:val="00281490"/>
    <w:rsid w:val="002D7881"/>
    <w:rsid w:val="00316347"/>
    <w:rsid w:val="0033708B"/>
    <w:rsid w:val="00360331"/>
    <w:rsid w:val="00373070"/>
    <w:rsid w:val="00386A2A"/>
    <w:rsid w:val="00394306"/>
    <w:rsid w:val="003C3679"/>
    <w:rsid w:val="003C6602"/>
    <w:rsid w:val="003C7B34"/>
    <w:rsid w:val="004109EA"/>
    <w:rsid w:val="00410A70"/>
    <w:rsid w:val="0049714C"/>
    <w:rsid w:val="004B4E1C"/>
    <w:rsid w:val="004D1137"/>
    <w:rsid w:val="00565567"/>
    <w:rsid w:val="005E4CE9"/>
    <w:rsid w:val="00603512"/>
    <w:rsid w:val="0060718D"/>
    <w:rsid w:val="00607EBB"/>
    <w:rsid w:val="00625685"/>
    <w:rsid w:val="0064336E"/>
    <w:rsid w:val="006B5C89"/>
    <w:rsid w:val="006D3F6C"/>
    <w:rsid w:val="006E048D"/>
    <w:rsid w:val="006E4E39"/>
    <w:rsid w:val="0071603E"/>
    <w:rsid w:val="007561E9"/>
    <w:rsid w:val="0076278B"/>
    <w:rsid w:val="007A4810"/>
    <w:rsid w:val="00803065"/>
    <w:rsid w:val="00831F8C"/>
    <w:rsid w:val="00836469"/>
    <w:rsid w:val="00840437"/>
    <w:rsid w:val="00860A3E"/>
    <w:rsid w:val="00864A16"/>
    <w:rsid w:val="008817A1"/>
    <w:rsid w:val="008931F8"/>
    <w:rsid w:val="00897C34"/>
    <w:rsid w:val="008C1298"/>
    <w:rsid w:val="00927495"/>
    <w:rsid w:val="00960A2B"/>
    <w:rsid w:val="009648B4"/>
    <w:rsid w:val="00980AEB"/>
    <w:rsid w:val="009D3748"/>
    <w:rsid w:val="009E4436"/>
    <w:rsid w:val="00A52E34"/>
    <w:rsid w:val="00A77283"/>
    <w:rsid w:val="00A92975"/>
    <w:rsid w:val="00AA0E7E"/>
    <w:rsid w:val="00AA51D7"/>
    <w:rsid w:val="00AA7829"/>
    <w:rsid w:val="00B070F4"/>
    <w:rsid w:val="00B10288"/>
    <w:rsid w:val="00B50830"/>
    <w:rsid w:val="00B60DE1"/>
    <w:rsid w:val="00B6756A"/>
    <w:rsid w:val="00BB5B55"/>
    <w:rsid w:val="00BE1431"/>
    <w:rsid w:val="00C03EA3"/>
    <w:rsid w:val="00C10326"/>
    <w:rsid w:val="00C17EA5"/>
    <w:rsid w:val="00C44C0E"/>
    <w:rsid w:val="00CE7A46"/>
    <w:rsid w:val="00CF298B"/>
    <w:rsid w:val="00DB1EE1"/>
    <w:rsid w:val="00DC5F6F"/>
    <w:rsid w:val="00DE0F96"/>
    <w:rsid w:val="00E23DE4"/>
    <w:rsid w:val="00E26427"/>
    <w:rsid w:val="00E33F55"/>
    <w:rsid w:val="00E36125"/>
    <w:rsid w:val="00E71533"/>
    <w:rsid w:val="00EC6D09"/>
    <w:rsid w:val="00EC6EA2"/>
    <w:rsid w:val="00F53973"/>
    <w:rsid w:val="00FA1406"/>
    <w:rsid w:val="00FC2F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A0B33E"/>
  <w15:docId w15:val="{735E6741-948E-47D9-A16E-96847F217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E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7283"/>
    <w:pPr>
      <w:spacing w:after="200" w:line="276" w:lineRule="auto"/>
      <w:ind w:left="720"/>
      <w:contextualSpacing/>
    </w:pPr>
    <w:rPr>
      <w:lang w:val="en-US"/>
    </w:rPr>
  </w:style>
  <w:style w:type="table" w:styleId="TableGrid">
    <w:name w:val="Table Grid"/>
    <w:basedOn w:val="TableNormal"/>
    <w:uiPriority w:val="39"/>
    <w:rsid w:val="003603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52267"/>
    <w:rPr>
      <w:color w:val="0563C1" w:themeColor="hyperlink"/>
      <w:u w:val="single"/>
    </w:rPr>
  </w:style>
  <w:style w:type="paragraph" w:styleId="Header">
    <w:name w:val="header"/>
    <w:basedOn w:val="Normal"/>
    <w:link w:val="HeaderChar"/>
    <w:uiPriority w:val="99"/>
    <w:unhideWhenUsed/>
    <w:rsid w:val="009648B4"/>
    <w:pPr>
      <w:tabs>
        <w:tab w:val="center" w:pos="4513"/>
        <w:tab w:val="right" w:pos="9026"/>
      </w:tabs>
    </w:pPr>
  </w:style>
  <w:style w:type="character" w:customStyle="1" w:styleId="HeaderChar">
    <w:name w:val="Header Char"/>
    <w:basedOn w:val="DefaultParagraphFont"/>
    <w:link w:val="Header"/>
    <w:uiPriority w:val="99"/>
    <w:rsid w:val="009648B4"/>
  </w:style>
  <w:style w:type="paragraph" w:styleId="Footer">
    <w:name w:val="footer"/>
    <w:basedOn w:val="Normal"/>
    <w:link w:val="FooterChar"/>
    <w:uiPriority w:val="99"/>
    <w:unhideWhenUsed/>
    <w:rsid w:val="009648B4"/>
    <w:pPr>
      <w:tabs>
        <w:tab w:val="center" w:pos="4513"/>
        <w:tab w:val="right" w:pos="9026"/>
      </w:tabs>
    </w:pPr>
  </w:style>
  <w:style w:type="character" w:customStyle="1" w:styleId="FooterChar">
    <w:name w:val="Footer Char"/>
    <w:basedOn w:val="DefaultParagraphFont"/>
    <w:link w:val="Footer"/>
    <w:uiPriority w:val="99"/>
    <w:rsid w:val="009648B4"/>
  </w:style>
  <w:style w:type="paragraph" w:styleId="BalloonText">
    <w:name w:val="Balloon Text"/>
    <w:basedOn w:val="Normal"/>
    <w:link w:val="BalloonTextChar"/>
    <w:uiPriority w:val="99"/>
    <w:semiHidden/>
    <w:unhideWhenUsed/>
    <w:rsid w:val="003730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3070"/>
    <w:rPr>
      <w:rFonts w:ascii="Segoe UI" w:hAnsi="Segoe UI" w:cs="Segoe UI"/>
      <w:sz w:val="18"/>
      <w:szCs w:val="18"/>
    </w:rPr>
  </w:style>
  <w:style w:type="character" w:styleId="CommentReference">
    <w:name w:val="annotation reference"/>
    <w:basedOn w:val="DefaultParagraphFont"/>
    <w:uiPriority w:val="99"/>
    <w:semiHidden/>
    <w:unhideWhenUsed/>
    <w:rsid w:val="00A92975"/>
    <w:rPr>
      <w:sz w:val="16"/>
      <w:szCs w:val="16"/>
    </w:rPr>
  </w:style>
  <w:style w:type="paragraph" w:styleId="CommentText">
    <w:name w:val="annotation text"/>
    <w:basedOn w:val="Normal"/>
    <w:link w:val="CommentTextChar"/>
    <w:uiPriority w:val="99"/>
    <w:semiHidden/>
    <w:unhideWhenUsed/>
    <w:rsid w:val="00A92975"/>
    <w:rPr>
      <w:sz w:val="20"/>
      <w:szCs w:val="20"/>
    </w:rPr>
  </w:style>
  <w:style w:type="character" w:customStyle="1" w:styleId="CommentTextChar">
    <w:name w:val="Comment Text Char"/>
    <w:basedOn w:val="DefaultParagraphFont"/>
    <w:link w:val="CommentText"/>
    <w:uiPriority w:val="99"/>
    <w:semiHidden/>
    <w:rsid w:val="00A9297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9E15C-80FC-4850-AF92-544121213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2155</Words>
  <Characters>12285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Queens University Belfast</Company>
  <LinksUpToDate>false</LinksUpToDate>
  <CharactersWithSpaces>14412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WG</dc:creator>
  <cp:lastModifiedBy>John Busby</cp:lastModifiedBy>
  <cp:revision>3</cp:revision>
  <cp:lastPrinted>2017-03-01T12:13:00Z</cp:lastPrinted>
  <dcterms:created xsi:type="dcterms:W3CDTF">2017-04-27T11:46:00Z</dcterms:created>
  <dcterms:modified xsi:type="dcterms:W3CDTF">2017-04-27T12:02:00Z</dcterms:modified>
</cp:coreProperties>
</file>